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6B0B" w14:textId="77777777" w:rsidR="00502DD1" w:rsidRDefault="00502DD1" w:rsidP="00502DD1">
      <w:pPr>
        <w:pStyle w:val="Titolo1"/>
        <w:jc w:val="center"/>
        <w:rPr>
          <w:rStyle w:val="Enfasicorsivo"/>
          <w:rFonts w:cs="Arial"/>
          <w:b/>
          <w:bCs w:val="0"/>
        </w:rPr>
      </w:pPr>
      <w:r>
        <w:rPr>
          <w:rStyle w:val="Enfasicorsivo"/>
          <w:rFonts w:cs="Arial"/>
          <w:b/>
          <w:bCs w:val="0"/>
        </w:rPr>
        <w:t xml:space="preserve">VADEMECUM </w:t>
      </w:r>
      <w:r w:rsidRPr="00773999">
        <w:rPr>
          <w:rStyle w:val="Enfasicorsivo"/>
          <w:b/>
          <w:bCs w:val="0"/>
        </w:rPr>
        <w:t>SINTETICO</w:t>
      </w:r>
      <w:r>
        <w:rPr>
          <w:rStyle w:val="Enfasicorsivo"/>
          <w:rFonts w:cs="Arial"/>
          <w:b/>
          <w:bCs w:val="0"/>
        </w:rPr>
        <w:t xml:space="preserve"> PER LO SVOLGIMENTO DEGLI ESAMI DI STATO</w:t>
      </w:r>
    </w:p>
    <w:p w14:paraId="32D449C8" w14:textId="77777777" w:rsidR="00502DD1" w:rsidRPr="00E570FD" w:rsidRDefault="00502DD1" w:rsidP="00502DD1">
      <w:r>
        <w:pict w14:anchorId="204EFA34">
          <v:rect id="_x0000_i1026" style="width:0;height:1.5pt" o:hralign="center" o:hrstd="t" o:hr="t" fillcolor="#a0a0a0" stroked="f"/>
        </w:pict>
      </w:r>
    </w:p>
    <w:p w14:paraId="151F4DC2" w14:textId="77777777" w:rsidR="00502DD1" w:rsidRPr="00502DD1" w:rsidRDefault="00502DD1" w:rsidP="00502DD1">
      <w:pPr>
        <w:rPr>
          <w:rFonts w:cs="Arial"/>
          <w:b/>
          <w:bCs/>
          <w:sz w:val="12"/>
          <w:szCs w:val="12"/>
        </w:rPr>
      </w:pPr>
    </w:p>
    <w:p w14:paraId="6CF6C59E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b/>
          <w:bCs/>
          <w:szCs w:val="24"/>
        </w:rPr>
        <w:t>INCOMPATIBILITÀ DEI COMMISSARI</w:t>
      </w:r>
    </w:p>
    <w:p w14:paraId="52083CCD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Nella riunione preliminare il Presidente deve procedere alla verifica di eventuali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incompatibilità, chiedendo a tutti i commissari la sottoscrizione di due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dichiarazioni:</w:t>
      </w:r>
    </w:p>
    <w:p w14:paraId="21116ECC" w14:textId="77777777" w:rsidR="00502DD1" w:rsidRDefault="00502DD1" w:rsidP="00502DD1">
      <w:pPr>
        <w:pStyle w:val="Paragrafoelenco"/>
        <w:numPr>
          <w:ilvl w:val="0"/>
          <w:numId w:val="27"/>
        </w:numPr>
        <w:rPr>
          <w:rFonts w:cs="Arial"/>
          <w:szCs w:val="24"/>
        </w:rPr>
      </w:pPr>
      <w:r w:rsidRPr="00F276C1">
        <w:rPr>
          <w:rFonts w:cs="Arial"/>
          <w:szCs w:val="24"/>
        </w:rPr>
        <w:t>di non aver istruito privatamente alcun candidato interno o esterno;</w:t>
      </w:r>
    </w:p>
    <w:p w14:paraId="34D45849" w14:textId="601562B0" w:rsidR="00502DD1" w:rsidRPr="00F276C1" w:rsidRDefault="00502DD1" w:rsidP="00502DD1">
      <w:pPr>
        <w:pStyle w:val="Paragrafoelenco"/>
        <w:numPr>
          <w:ilvl w:val="0"/>
          <w:numId w:val="27"/>
        </w:numPr>
        <w:rPr>
          <w:rFonts w:cs="Arial"/>
          <w:szCs w:val="24"/>
        </w:rPr>
      </w:pPr>
      <w:r w:rsidRPr="00F276C1">
        <w:rPr>
          <w:rFonts w:cs="Arial"/>
          <w:szCs w:val="24"/>
        </w:rPr>
        <w:t>di non essere legato da vincoli di parentela o di affinità sino al quarto</w:t>
      </w:r>
      <w:r>
        <w:rPr>
          <w:rFonts w:cs="Arial"/>
          <w:szCs w:val="24"/>
        </w:rPr>
        <w:t xml:space="preserve"> </w:t>
      </w:r>
      <w:r w:rsidRPr="00F276C1">
        <w:rPr>
          <w:rFonts w:cs="Arial"/>
          <w:szCs w:val="24"/>
        </w:rPr>
        <w:t>grado</w:t>
      </w:r>
      <w:r>
        <w:rPr>
          <w:rFonts w:cs="Arial"/>
          <w:szCs w:val="24"/>
        </w:rPr>
        <w:t xml:space="preserve"> </w:t>
      </w:r>
      <w:r w:rsidRPr="00F276C1">
        <w:rPr>
          <w:rFonts w:cs="Arial"/>
          <w:szCs w:val="24"/>
        </w:rPr>
        <w:t>con alcuno di essi, né di avere rapporti di coniugio con uno degli</w:t>
      </w:r>
      <w:r>
        <w:rPr>
          <w:rFonts w:cs="Arial"/>
          <w:szCs w:val="24"/>
        </w:rPr>
        <w:t xml:space="preserve"> </w:t>
      </w:r>
      <w:r w:rsidRPr="00F276C1">
        <w:rPr>
          <w:rFonts w:cs="Arial"/>
          <w:szCs w:val="24"/>
        </w:rPr>
        <w:t>stessi</w:t>
      </w:r>
      <w:r>
        <w:rPr>
          <w:rFonts w:cs="Arial"/>
          <w:szCs w:val="24"/>
        </w:rPr>
        <w:t xml:space="preserve"> (Vedi successivo All. 1</w:t>
      </w:r>
      <w:r w:rsidR="006C4AC2">
        <w:rPr>
          <w:rFonts w:cs="Arial"/>
          <w:szCs w:val="24"/>
        </w:rPr>
        <w:t xml:space="preserve"> – Gradi di parentela ed affinità</w:t>
      </w:r>
      <w:r>
        <w:rPr>
          <w:rFonts w:cs="Arial"/>
          <w:szCs w:val="24"/>
        </w:rPr>
        <w:t>)</w:t>
      </w:r>
      <w:r w:rsidRPr="00F276C1">
        <w:rPr>
          <w:rFonts w:cs="Arial"/>
          <w:szCs w:val="24"/>
        </w:rPr>
        <w:t>.</w:t>
      </w:r>
    </w:p>
    <w:p w14:paraId="514BA9A2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Nel caso in cui sussistano vincoli di parentela, i commissari hanno l’obbligo di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dichiararlo.</w:t>
      </w:r>
    </w:p>
    <w:p w14:paraId="5EB77FC5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Nel caso in cui il docente per il quale sussistano vincoli di parentela sia coinvolto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nelle prove scritte, questi deve astenersi dalla proposta e dal sorteggio delle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tracce, dalla discussione e dal voto riguardante il candidato stesso (art.11,</w:t>
      </w:r>
    </w:p>
    <w:p w14:paraId="40AD9331" w14:textId="77777777" w:rsidR="00502DD1" w:rsidRDefault="00502DD1" w:rsidP="00502DD1">
      <w:pPr>
        <w:rPr>
          <w:rFonts w:cs="Arial"/>
          <w:szCs w:val="24"/>
          <w:lang w:val="en-US"/>
        </w:rPr>
      </w:pPr>
      <w:r w:rsidRPr="00F9770B">
        <w:rPr>
          <w:rFonts w:cs="Arial"/>
          <w:szCs w:val="24"/>
          <w:lang w:val="en-US"/>
        </w:rPr>
        <w:t>comma 1, D.P.R. 487/1994; art.508, comma 5, T.U. 297/1994; art.75, R.D.</w:t>
      </w:r>
      <w:r>
        <w:rPr>
          <w:rFonts w:cs="Arial"/>
          <w:szCs w:val="24"/>
          <w:lang w:val="en-US"/>
        </w:rPr>
        <w:t xml:space="preserve"> </w:t>
      </w:r>
      <w:r w:rsidRPr="00F9770B">
        <w:rPr>
          <w:rFonts w:cs="Arial"/>
          <w:szCs w:val="24"/>
          <w:lang w:val="en-US"/>
        </w:rPr>
        <w:t>653/1925).</w:t>
      </w:r>
    </w:p>
    <w:p w14:paraId="5DF4847C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b/>
          <w:bCs/>
          <w:szCs w:val="24"/>
        </w:rPr>
        <w:t>All.1 – GRADI DI PARENTELA ED AFFINIT</w:t>
      </w:r>
      <w:r>
        <w:rPr>
          <w:rFonts w:cs="Arial"/>
          <w:b/>
          <w:bCs/>
          <w:szCs w:val="24"/>
        </w:rPr>
        <w:t>À</w:t>
      </w:r>
    </w:p>
    <w:p w14:paraId="088B600B" w14:textId="77777777" w:rsidR="00502DD1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I parenti dell’insegnante entro il 4° grado sono:</w:t>
      </w:r>
    </w:p>
    <w:p w14:paraId="65F0350D" w14:textId="77777777" w:rsidR="00502DD1" w:rsidRPr="005D08DE" w:rsidRDefault="00502DD1" w:rsidP="00502DD1">
      <w:pPr>
        <w:pStyle w:val="Paragrafoelenco"/>
        <w:numPr>
          <w:ilvl w:val="0"/>
          <w:numId w:val="33"/>
        </w:numPr>
        <w:rPr>
          <w:rFonts w:cs="Arial"/>
          <w:szCs w:val="24"/>
        </w:rPr>
      </w:pPr>
      <w:r w:rsidRPr="005D08DE">
        <w:rPr>
          <w:rFonts w:cs="Arial"/>
          <w:szCs w:val="24"/>
        </w:rPr>
        <w:t>i suoi genitori, nonni e bisnonni;</w:t>
      </w:r>
    </w:p>
    <w:p w14:paraId="4B301042" w14:textId="77777777" w:rsidR="00502DD1" w:rsidRPr="005D08DE" w:rsidRDefault="00502DD1" w:rsidP="00502DD1">
      <w:pPr>
        <w:pStyle w:val="Paragrafoelenco"/>
        <w:numPr>
          <w:ilvl w:val="0"/>
          <w:numId w:val="33"/>
        </w:numPr>
        <w:rPr>
          <w:rFonts w:cs="Arial"/>
          <w:szCs w:val="24"/>
        </w:rPr>
      </w:pPr>
      <w:r w:rsidRPr="005D08DE">
        <w:rPr>
          <w:rFonts w:cs="Arial"/>
          <w:szCs w:val="24"/>
        </w:rPr>
        <w:t>i fratelli dei genitori (zii);</w:t>
      </w:r>
    </w:p>
    <w:p w14:paraId="0DEC9A55" w14:textId="77777777" w:rsidR="00502DD1" w:rsidRPr="005D08DE" w:rsidRDefault="00502DD1" w:rsidP="00502DD1">
      <w:pPr>
        <w:pStyle w:val="Paragrafoelenco"/>
        <w:numPr>
          <w:ilvl w:val="0"/>
          <w:numId w:val="33"/>
        </w:numPr>
        <w:rPr>
          <w:rFonts w:cs="Arial"/>
          <w:szCs w:val="24"/>
        </w:rPr>
      </w:pPr>
      <w:r w:rsidRPr="005D08DE">
        <w:rPr>
          <w:rFonts w:cs="Arial"/>
          <w:szCs w:val="24"/>
        </w:rPr>
        <w:t>i figli dei fratelli dei genitori (i cugini);</w:t>
      </w:r>
    </w:p>
    <w:p w14:paraId="48E96700" w14:textId="77777777" w:rsidR="00502DD1" w:rsidRPr="005D08DE" w:rsidRDefault="00502DD1" w:rsidP="00502DD1">
      <w:pPr>
        <w:pStyle w:val="Paragrafoelenco"/>
        <w:numPr>
          <w:ilvl w:val="0"/>
          <w:numId w:val="33"/>
        </w:numPr>
        <w:rPr>
          <w:rFonts w:cs="Arial"/>
          <w:szCs w:val="24"/>
        </w:rPr>
      </w:pPr>
      <w:r w:rsidRPr="005D08DE">
        <w:rPr>
          <w:rFonts w:cs="Arial"/>
          <w:szCs w:val="24"/>
        </w:rPr>
        <w:t>i suoi figli;</w:t>
      </w:r>
    </w:p>
    <w:p w14:paraId="3D2146B6" w14:textId="77777777" w:rsidR="00502DD1" w:rsidRPr="005D08DE" w:rsidRDefault="00502DD1" w:rsidP="00502DD1">
      <w:pPr>
        <w:pStyle w:val="Paragrafoelenco"/>
        <w:numPr>
          <w:ilvl w:val="0"/>
          <w:numId w:val="33"/>
        </w:numPr>
        <w:rPr>
          <w:rFonts w:cs="Arial"/>
          <w:szCs w:val="24"/>
        </w:rPr>
      </w:pPr>
      <w:r w:rsidRPr="005D08DE">
        <w:rPr>
          <w:rFonts w:cs="Arial"/>
          <w:szCs w:val="24"/>
        </w:rPr>
        <w:t>i suoi figli dei figli (nipoti diretti);</w:t>
      </w:r>
    </w:p>
    <w:p w14:paraId="40A29A8B" w14:textId="77777777" w:rsidR="00502DD1" w:rsidRPr="005D08DE" w:rsidRDefault="00502DD1" w:rsidP="00502DD1">
      <w:pPr>
        <w:pStyle w:val="Paragrafoelenco"/>
        <w:numPr>
          <w:ilvl w:val="0"/>
          <w:numId w:val="33"/>
        </w:numPr>
        <w:rPr>
          <w:rFonts w:cs="Arial"/>
          <w:szCs w:val="24"/>
        </w:rPr>
      </w:pPr>
      <w:r w:rsidRPr="005D08DE">
        <w:rPr>
          <w:rFonts w:cs="Arial"/>
          <w:szCs w:val="24"/>
        </w:rPr>
        <w:t>fratelli e sorelle;</w:t>
      </w:r>
    </w:p>
    <w:p w14:paraId="390FABF3" w14:textId="77777777" w:rsidR="00502DD1" w:rsidRPr="005D08DE" w:rsidRDefault="00502DD1" w:rsidP="00502DD1">
      <w:pPr>
        <w:pStyle w:val="Paragrafoelenco"/>
        <w:numPr>
          <w:ilvl w:val="0"/>
          <w:numId w:val="33"/>
        </w:numPr>
        <w:rPr>
          <w:rFonts w:cs="Arial"/>
          <w:szCs w:val="24"/>
        </w:rPr>
      </w:pPr>
      <w:r w:rsidRPr="005D08DE">
        <w:rPr>
          <w:rFonts w:cs="Arial"/>
          <w:szCs w:val="24"/>
        </w:rPr>
        <w:t>i figli dei fratelli o sorelle;</w:t>
      </w:r>
    </w:p>
    <w:p w14:paraId="294460DF" w14:textId="77777777" w:rsidR="00502DD1" w:rsidRPr="005D08DE" w:rsidRDefault="00502DD1" w:rsidP="00502DD1">
      <w:pPr>
        <w:pStyle w:val="Paragrafoelenco"/>
        <w:numPr>
          <w:ilvl w:val="0"/>
          <w:numId w:val="33"/>
        </w:numPr>
        <w:rPr>
          <w:rFonts w:cs="Arial"/>
          <w:szCs w:val="24"/>
        </w:rPr>
      </w:pPr>
      <w:r w:rsidRPr="005D08DE">
        <w:rPr>
          <w:rFonts w:cs="Arial"/>
          <w:szCs w:val="24"/>
        </w:rPr>
        <w:t>i figli dei figli di fratelli o sorelle.</w:t>
      </w:r>
    </w:p>
    <w:p w14:paraId="3F450B73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Le affinità sono i vincoli tra un coniuge e i parenti dell’altro coniuge; esempio 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parenti della moglie sono gli affini del marito.</w:t>
      </w:r>
    </w:p>
    <w:p w14:paraId="56D51CB5" w14:textId="77777777" w:rsidR="00502DD1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Anche qui si può dire che entro il 4° grado di affinità, rientrano:</w:t>
      </w:r>
    </w:p>
    <w:p w14:paraId="48BB351A" w14:textId="77777777" w:rsidR="00502DD1" w:rsidRPr="005D08DE" w:rsidRDefault="00502DD1" w:rsidP="00502DD1">
      <w:pPr>
        <w:pStyle w:val="Paragrafoelenco"/>
        <w:numPr>
          <w:ilvl w:val="0"/>
          <w:numId w:val="34"/>
        </w:numPr>
        <w:rPr>
          <w:rFonts w:cs="Arial"/>
          <w:szCs w:val="24"/>
        </w:rPr>
      </w:pPr>
      <w:r w:rsidRPr="005D08DE">
        <w:rPr>
          <w:rFonts w:cs="Arial"/>
          <w:szCs w:val="24"/>
        </w:rPr>
        <w:t>nuovo marito della madre o moglie del padre;</w:t>
      </w:r>
    </w:p>
    <w:p w14:paraId="50F10F1F" w14:textId="77777777" w:rsidR="00502DD1" w:rsidRPr="005D08DE" w:rsidRDefault="00502DD1" w:rsidP="00502DD1">
      <w:pPr>
        <w:pStyle w:val="Paragrafoelenco"/>
        <w:numPr>
          <w:ilvl w:val="0"/>
          <w:numId w:val="34"/>
        </w:numPr>
        <w:rPr>
          <w:rFonts w:cs="Arial"/>
          <w:szCs w:val="24"/>
        </w:rPr>
      </w:pPr>
      <w:r w:rsidRPr="005D08DE">
        <w:rPr>
          <w:rFonts w:cs="Arial"/>
          <w:szCs w:val="24"/>
        </w:rPr>
        <w:t>marito e fratello/sorella della moglie (cognati/e);</w:t>
      </w:r>
    </w:p>
    <w:p w14:paraId="4ADDE896" w14:textId="77777777" w:rsidR="00502DD1" w:rsidRPr="005D08DE" w:rsidRDefault="00502DD1" w:rsidP="00502DD1">
      <w:pPr>
        <w:pStyle w:val="Paragrafoelenco"/>
        <w:numPr>
          <w:ilvl w:val="0"/>
          <w:numId w:val="34"/>
        </w:numPr>
        <w:rPr>
          <w:rFonts w:cs="Arial"/>
          <w:szCs w:val="24"/>
        </w:rPr>
      </w:pPr>
      <w:r w:rsidRPr="005D08DE">
        <w:rPr>
          <w:rFonts w:cs="Arial"/>
          <w:szCs w:val="24"/>
        </w:rPr>
        <w:t>oppure moglie e fratello/sorella del marito (cognati/e);</w:t>
      </w:r>
    </w:p>
    <w:p w14:paraId="3E30918B" w14:textId="77777777" w:rsidR="00502DD1" w:rsidRPr="005D08DE" w:rsidRDefault="00502DD1" w:rsidP="00502DD1">
      <w:pPr>
        <w:pStyle w:val="Paragrafoelenco"/>
        <w:numPr>
          <w:ilvl w:val="0"/>
          <w:numId w:val="34"/>
        </w:numPr>
        <w:rPr>
          <w:rFonts w:cs="Arial"/>
          <w:szCs w:val="24"/>
        </w:rPr>
      </w:pPr>
      <w:r w:rsidRPr="005D08DE">
        <w:rPr>
          <w:rFonts w:cs="Arial"/>
          <w:szCs w:val="24"/>
        </w:rPr>
        <w:t>nipoti (cioè i figli della sorella/fratello della moglie o del marito).</w:t>
      </w:r>
    </w:p>
    <w:p w14:paraId="684C4D2C" w14:textId="77777777" w:rsidR="00502DD1" w:rsidRPr="00F9770B" w:rsidRDefault="00502DD1" w:rsidP="00502DD1">
      <w:pPr>
        <w:rPr>
          <w:rFonts w:cs="Arial"/>
          <w:szCs w:val="24"/>
        </w:rPr>
      </w:pPr>
    </w:p>
    <w:p w14:paraId="52397C5B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b/>
          <w:bCs/>
          <w:szCs w:val="24"/>
        </w:rPr>
        <w:t>CELLULARI</w:t>
      </w:r>
    </w:p>
    <w:p w14:paraId="02649411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Devono essere consegnati alla commissione i telefoni cellulari di qualsiasi tipo 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altre apparecchiature elettroniche di tipo “palmari”, ove i candidati ne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siano in possesso.</w:t>
      </w:r>
    </w:p>
    <w:p w14:paraId="6790FDF4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I candidati potranno essere esclusi dagli esami nel caso in cui siano colti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nell’uso dei telefoni cellulari. Sarà cura del coordinatore della sottocommissione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o di chi è presente in aula durante le prove scritte ritirarli e custodirli sulla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cattedra fino al termine delle operazioni che riguardano il singolo candidato</w:t>
      </w:r>
      <w:r>
        <w:rPr>
          <w:rFonts w:cs="Arial"/>
          <w:szCs w:val="24"/>
        </w:rPr>
        <w:t>.</w:t>
      </w:r>
    </w:p>
    <w:p w14:paraId="406B792C" w14:textId="77777777" w:rsidR="00502DD1" w:rsidRDefault="00502DD1" w:rsidP="00502DD1">
      <w:pPr>
        <w:rPr>
          <w:rFonts w:cs="Arial"/>
          <w:b/>
          <w:bCs/>
          <w:szCs w:val="24"/>
        </w:rPr>
      </w:pPr>
    </w:p>
    <w:p w14:paraId="76145D4E" w14:textId="77777777" w:rsidR="00502DD1" w:rsidRDefault="00502DD1" w:rsidP="00502DD1">
      <w:pPr>
        <w:rPr>
          <w:rFonts w:cs="Arial"/>
          <w:szCs w:val="24"/>
        </w:rPr>
      </w:pPr>
      <w:r w:rsidRPr="00F9770B">
        <w:rPr>
          <w:rFonts w:cs="Arial"/>
          <w:b/>
          <w:bCs/>
          <w:szCs w:val="24"/>
        </w:rPr>
        <w:t>DISABILITÀ</w:t>
      </w:r>
    </w:p>
    <w:p w14:paraId="064C6EC1" w14:textId="77777777" w:rsidR="00502DD1" w:rsidRDefault="00502DD1" w:rsidP="00502DD1">
      <w:pPr>
        <w:rPr>
          <w:rFonts w:cs="Arial"/>
          <w:szCs w:val="24"/>
        </w:rPr>
      </w:pPr>
      <w:r>
        <w:rPr>
          <w:rFonts w:cs="Arial"/>
          <w:szCs w:val="24"/>
        </w:rPr>
        <w:t>L</w:t>
      </w:r>
      <w:r w:rsidRPr="00F9770B">
        <w:rPr>
          <w:rFonts w:cs="Arial"/>
          <w:szCs w:val="24"/>
        </w:rPr>
        <w:t>e prove possono essere differenziate per tutte o alcune delle discipline; quindi,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la mattina in cui vengono sorteggiate le terne comuni, occorre che si sorteggino,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se deliberato in sede di riunione preliminare della commissione, anche le terne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di prove differenziate</w:t>
      </w:r>
      <w:r>
        <w:rPr>
          <w:rFonts w:cs="Arial"/>
          <w:szCs w:val="24"/>
        </w:rPr>
        <w:t>.</w:t>
      </w:r>
    </w:p>
    <w:p w14:paraId="38E24F76" w14:textId="77777777" w:rsidR="00502DD1" w:rsidRDefault="00502DD1" w:rsidP="00502DD1">
      <w:pPr>
        <w:rPr>
          <w:rFonts w:cs="Arial"/>
          <w:b/>
          <w:bCs/>
          <w:szCs w:val="24"/>
        </w:rPr>
      </w:pPr>
    </w:p>
    <w:p w14:paraId="3D418781" w14:textId="0EADB415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b/>
          <w:bCs/>
          <w:szCs w:val="24"/>
        </w:rPr>
        <w:t>PESATURA AMMISSIONE E PROVE D’ESAME</w:t>
      </w:r>
    </w:p>
    <w:p w14:paraId="15F82BD8" w14:textId="77777777" w:rsidR="00502DD1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In coerenza con la normativa statale che prevede l’attribuzione di un voto finale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risultante dalla “media del voto di ammissione e la media dei voti delle prove 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del colloquio”, all’espressione del giudizio finale concorrono per il 50% del totale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il giudizio di ammissione e per il restante 50% il giudizio sintetico delle prove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d’esame, attribuendo pari peso alle tre prove scritte e al colloquio.</w:t>
      </w:r>
    </w:p>
    <w:p w14:paraId="6CB6B7FC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b/>
          <w:bCs/>
          <w:szCs w:val="24"/>
        </w:rPr>
        <w:lastRenderedPageBreak/>
        <w:t>ATTRIBUZIONE DELLA LODE</w:t>
      </w:r>
    </w:p>
    <w:p w14:paraId="38BD396E" w14:textId="77777777" w:rsidR="00502DD1" w:rsidRDefault="00502DD1" w:rsidP="00502DD1">
      <w:pPr>
        <w:rPr>
          <w:rFonts w:cs="Arial"/>
          <w:i/>
          <w:iCs/>
          <w:szCs w:val="24"/>
        </w:rPr>
      </w:pPr>
      <w:r w:rsidRPr="00F9770B">
        <w:rPr>
          <w:rFonts w:cs="Arial"/>
          <w:szCs w:val="24"/>
        </w:rPr>
        <w:t xml:space="preserve">Per l’attribuzione della lode, la normativa nazionale, in particolare il </w:t>
      </w:r>
      <w:r>
        <w:rPr>
          <w:rFonts w:cs="Arial"/>
          <w:szCs w:val="24"/>
        </w:rPr>
        <w:t>D. Lgs. 62/2017</w:t>
      </w:r>
      <w:r w:rsidRPr="00F9770B">
        <w:rPr>
          <w:rFonts w:cs="Arial"/>
          <w:szCs w:val="24"/>
        </w:rPr>
        <w:t>, prevede una specifica disciplina di cui all’art</w:t>
      </w:r>
      <w:r>
        <w:rPr>
          <w:rFonts w:cs="Arial"/>
          <w:szCs w:val="24"/>
        </w:rPr>
        <w:t>.</w:t>
      </w:r>
      <w:r w:rsidRPr="00F9770B">
        <w:rPr>
          <w:rFonts w:cs="Arial"/>
          <w:szCs w:val="24"/>
        </w:rPr>
        <w:t xml:space="preserve"> 8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c</w:t>
      </w:r>
      <w:r>
        <w:rPr>
          <w:rFonts w:cs="Arial"/>
          <w:szCs w:val="24"/>
        </w:rPr>
        <w:t>.</w:t>
      </w:r>
      <w:r w:rsidRPr="00F9770B">
        <w:rPr>
          <w:rFonts w:cs="Arial"/>
          <w:szCs w:val="24"/>
        </w:rPr>
        <w:t xml:space="preserve"> 8 che testualmente dispone che “</w:t>
      </w:r>
      <w:r w:rsidRPr="00F9770B">
        <w:rPr>
          <w:rFonts w:cs="Arial"/>
          <w:i/>
          <w:iCs/>
          <w:szCs w:val="24"/>
        </w:rPr>
        <w:t>La valutazione finale espressa con la</w:t>
      </w:r>
      <w:r>
        <w:rPr>
          <w:rFonts w:cs="Arial"/>
          <w:i/>
          <w:iCs/>
          <w:szCs w:val="24"/>
        </w:rPr>
        <w:t xml:space="preserve"> </w:t>
      </w:r>
      <w:r w:rsidRPr="00F9770B">
        <w:rPr>
          <w:rFonts w:cs="Arial"/>
          <w:i/>
          <w:iCs/>
          <w:szCs w:val="24"/>
        </w:rPr>
        <w:t>votazione di dieci decimi può essere accompagnata dalla lode, con deliberazione</w:t>
      </w:r>
      <w:r w:rsidRPr="00F276C1">
        <w:rPr>
          <w:rFonts w:cs="Arial"/>
          <w:i/>
          <w:iCs/>
          <w:szCs w:val="24"/>
        </w:rPr>
        <w:t xml:space="preserve"> </w:t>
      </w:r>
      <w:r w:rsidRPr="00F9770B">
        <w:rPr>
          <w:rFonts w:cs="Arial"/>
          <w:i/>
          <w:iCs/>
          <w:szCs w:val="24"/>
        </w:rPr>
        <w:t>all’unanimità della commissione, in relazione alle valutazioni conseguite nel</w:t>
      </w:r>
      <w:r w:rsidRPr="00F276C1">
        <w:rPr>
          <w:rFonts w:cs="Arial"/>
          <w:i/>
          <w:iCs/>
          <w:szCs w:val="24"/>
        </w:rPr>
        <w:t xml:space="preserve"> </w:t>
      </w:r>
      <w:r w:rsidRPr="00F9770B">
        <w:rPr>
          <w:rFonts w:cs="Arial"/>
          <w:i/>
          <w:iCs/>
          <w:szCs w:val="24"/>
        </w:rPr>
        <w:t>percorso scolastico del triennio ed agli esiti delle prove di esame</w:t>
      </w:r>
      <w:r w:rsidRPr="00F9770B">
        <w:rPr>
          <w:rFonts w:cs="Arial"/>
          <w:szCs w:val="24"/>
        </w:rPr>
        <w:t>.”</w:t>
      </w:r>
    </w:p>
    <w:p w14:paraId="2E1BCD49" w14:textId="77777777" w:rsidR="00502DD1" w:rsidRDefault="00502DD1" w:rsidP="00502DD1">
      <w:pPr>
        <w:rPr>
          <w:rFonts w:cs="Arial"/>
          <w:b/>
          <w:bCs/>
          <w:szCs w:val="24"/>
        </w:rPr>
      </w:pPr>
    </w:p>
    <w:p w14:paraId="4E51069A" w14:textId="5D0F46CB" w:rsidR="00502DD1" w:rsidRPr="00F9770B" w:rsidRDefault="00502DD1" w:rsidP="00502DD1">
      <w:pPr>
        <w:rPr>
          <w:rFonts w:cs="Arial"/>
          <w:i/>
          <w:iCs/>
          <w:szCs w:val="24"/>
        </w:rPr>
      </w:pPr>
      <w:r w:rsidRPr="00F9770B">
        <w:rPr>
          <w:rFonts w:cs="Arial"/>
          <w:b/>
          <w:bCs/>
          <w:szCs w:val="24"/>
        </w:rPr>
        <w:t>PROCEDURA DI SORTEGGIO DELLE PROVE SCRITTE</w:t>
      </w:r>
    </w:p>
    <w:p w14:paraId="15773364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A parte la regola che stabilisce la presenza di tutti i componenti della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commissione e sottocommissione a tutte le operazioni, il sorteggio delle tracce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delle prove può costituire un’eccezione, in quanto si tratta di una fase in cui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non si effettuano attività deliberative, come assegnare voti, ratificare decisioni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ecc.</w:t>
      </w:r>
    </w:p>
    <w:p w14:paraId="18FB36F5" w14:textId="77777777" w:rsidR="00502DD1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Elemento minimo che va salvaguardato nell’operazione del sorteggio è dato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dalla presenza del Presidente della commissione o di un suo delegato e dei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candidati.</w:t>
      </w:r>
    </w:p>
    <w:p w14:paraId="78780E3F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b/>
          <w:bCs/>
          <w:szCs w:val="24"/>
        </w:rPr>
        <w:t>Precisazioni in merito alle prove scritte</w:t>
      </w:r>
    </w:p>
    <w:p w14:paraId="30C77E66" w14:textId="77777777" w:rsidR="00502DD1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In ogni aula un commissario procede con l’appello nominale dei candidati.</w:t>
      </w:r>
    </w:p>
    <w:p w14:paraId="7048DE1A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Al termine della prova scritta i commissari preposti consegnano gli elaborati al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Presidente, il quale firma il verbale e verifica con attenzione che questo sia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stato correttamente compilato in tutte le sue parti, controlla il numero degli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elaborati, chiude la busta e compila alla presenza dei commissari previsti il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frontespizio che viene infine siglato dagli stessi.</w:t>
      </w:r>
    </w:p>
    <w:p w14:paraId="367D7D7D" w14:textId="77777777" w:rsidR="00502DD1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Terminata questa operazione, le varie buste con gli elaborati vengono collocate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in un luogo sicuro e riaperte solo in presenza del Presidente o suo delegato per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la correzione degli elaborati da parte della sottocommissione.</w:t>
      </w:r>
    </w:p>
    <w:p w14:paraId="286C2C26" w14:textId="77777777" w:rsidR="00502DD1" w:rsidRDefault="00502DD1" w:rsidP="00502DD1">
      <w:pPr>
        <w:rPr>
          <w:rFonts w:cs="Arial"/>
          <w:b/>
          <w:bCs/>
          <w:szCs w:val="24"/>
        </w:rPr>
      </w:pPr>
    </w:p>
    <w:p w14:paraId="0743E993" w14:textId="7B9F46CD" w:rsidR="00502DD1" w:rsidRPr="00F9770B" w:rsidRDefault="00502DD1" w:rsidP="00502DD1">
      <w:pPr>
        <w:rPr>
          <w:rFonts w:cs="Arial"/>
          <w:b/>
          <w:bCs/>
          <w:szCs w:val="24"/>
        </w:rPr>
      </w:pPr>
      <w:r w:rsidRPr="00F9770B">
        <w:rPr>
          <w:rFonts w:cs="Arial"/>
          <w:b/>
          <w:bCs/>
          <w:szCs w:val="24"/>
        </w:rPr>
        <w:t>CORREZIONE E VALUTAZIONE PROVE SCRITTE</w:t>
      </w:r>
    </w:p>
    <w:p w14:paraId="5364529D" w14:textId="77777777" w:rsidR="00502DD1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Le operazioni di correzione e valutazione delle prove scritte sono attribuite dal</w:t>
      </w:r>
      <w:r>
        <w:rPr>
          <w:rFonts w:cs="Arial"/>
          <w:szCs w:val="24"/>
        </w:rPr>
        <w:t xml:space="preserve"> D.M. </w:t>
      </w:r>
      <w:r w:rsidRPr="00F9770B">
        <w:rPr>
          <w:rFonts w:cs="Arial"/>
          <w:szCs w:val="24"/>
        </w:rPr>
        <w:t>741/2017 alla sottocommissione.</w:t>
      </w:r>
    </w:p>
    <w:p w14:paraId="4AC2434D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La fase della correzione delle prove è disciplinata dall’art</w:t>
      </w:r>
      <w:r>
        <w:rPr>
          <w:rFonts w:cs="Arial"/>
          <w:szCs w:val="24"/>
        </w:rPr>
        <w:t>.</w:t>
      </w:r>
      <w:r w:rsidRPr="00F9770B">
        <w:rPr>
          <w:rFonts w:cs="Arial"/>
          <w:szCs w:val="24"/>
        </w:rPr>
        <w:t xml:space="preserve"> 12 dello stesso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decreto. Ogni sottocommissione corregge e valuta le prove scritte tenendo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conto dei criteri definiti dalla commissione durante la seduta di insediamento 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opera pertanto collegialmente nella correzione degli elaborati. A tal proposito la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Nota ministeriale 9 maggio 2018, n. 7885 prevede due fasi:</w:t>
      </w:r>
    </w:p>
    <w:p w14:paraId="199CBAE4" w14:textId="77777777" w:rsidR="00502DD1" w:rsidRDefault="00502DD1" w:rsidP="00502DD1">
      <w:pPr>
        <w:pStyle w:val="Paragrafoelenco"/>
        <w:numPr>
          <w:ilvl w:val="0"/>
          <w:numId w:val="28"/>
        </w:numPr>
        <w:rPr>
          <w:rFonts w:cs="Arial"/>
          <w:szCs w:val="24"/>
        </w:rPr>
      </w:pPr>
      <w:r w:rsidRPr="00F276C1">
        <w:rPr>
          <w:rFonts w:cs="Arial"/>
          <w:szCs w:val="24"/>
        </w:rPr>
        <w:t xml:space="preserve">un </w:t>
      </w:r>
      <w:r w:rsidRPr="00F276C1">
        <w:rPr>
          <w:rFonts w:cs="Arial"/>
          <w:szCs w:val="24"/>
          <w:u w:val="single"/>
        </w:rPr>
        <w:t>momento tecnico</w:t>
      </w:r>
      <w:r w:rsidRPr="00F276C1">
        <w:rPr>
          <w:rFonts w:cs="Arial"/>
          <w:szCs w:val="24"/>
        </w:rPr>
        <w:t xml:space="preserve"> che richiede una specifica competenza disciplinare e </w:t>
      </w:r>
      <w:r w:rsidRPr="00F9770B">
        <w:rPr>
          <w:rFonts w:cs="Arial"/>
          <w:szCs w:val="24"/>
        </w:rPr>
        <w:t>può quindi essere effettuato dai soli componenti della sottocommissione</w:t>
      </w:r>
      <w:r w:rsidRPr="00F276C1"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della disciplina o delle discipline interessate che evidenziano sull’elaborato</w:t>
      </w:r>
      <w:r w:rsidRPr="00F276C1"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eventuali errori, incongruenze, aspetti positivi e negativi; la correzione</w:t>
      </w:r>
      <w:r w:rsidRPr="00F276C1"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evidenzia gli aspetti più utili ai fini della formulazione del giudizio sulla</w:t>
      </w:r>
      <w:r w:rsidRPr="00F276C1"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prova scritta;</w:t>
      </w:r>
    </w:p>
    <w:p w14:paraId="2CBA6F1B" w14:textId="77777777" w:rsidR="00502DD1" w:rsidRDefault="00502DD1" w:rsidP="00502DD1">
      <w:pPr>
        <w:pStyle w:val="Paragrafoelenco"/>
        <w:numPr>
          <w:ilvl w:val="0"/>
          <w:numId w:val="28"/>
        </w:numPr>
        <w:rPr>
          <w:rFonts w:cs="Arial"/>
          <w:szCs w:val="24"/>
        </w:rPr>
      </w:pPr>
      <w:r w:rsidRPr="00F276C1">
        <w:rPr>
          <w:rFonts w:cs="Arial"/>
          <w:szCs w:val="24"/>
        </w:rPr>
        <w:t xml:space="preserve">un </w:t>
      </w:r>
      <w:r w:rsidRPr="00F276C1">
        <w:rPr>
          <w:rFonts w:cs="Arial"/>
          <w:szCs w:val="24"/>
          <w:u w:val="single"/>
        </w:rPr>
        <w:t>momento valutativo</w:t>
      </w:r>
      <w:r w:rsidRPr="00F276C1">
        <w:rPr>
          <w:rFonts w:cs="Arial"/>
          <w:szCs w:val="24"/>
        </w:rPr>
        <w:t xml:space="preserve"> che si realizza successivamente da parte della </w:t>
      </w:r>
      <w:r w:rsidRPr="00F9770B">
        <w:rPr>
          <w:rFonts w:cs="Arial"/>
          <w:szCs w:val="24"/>
        </w:rPr>
        <w:t>sottocommissione, riunita in apposita seduta, che, presa visione della</w:t>
      </w:r>
      <w:r w:rsidRPr="00F276C1"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correzione tecnica, valuta e attribuisce per ciascuna prova il giudizio, che</w:t>
      </w:r>
      <w:r w:rsidRPr="00F276C1"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viene formalmente apposto sull’elaborato e sottoscritto da tutti i</w:t>
      </w:r>
      <w:r w:rsidRPr="00F276C1"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componenti della sottocommissione.</w:t>
      </w:r>
    </w:p>
    <w:p w14:paraId="07453415" w14:textId="77777777" w:rsidR="00502DD1" w:rsidRPr="00E4588C" w:rsidRDefault="00502DD1" w:rsidP="00502DD1">
      <w:pPr>
        <w:rPr>
          <w:rFonts w:cs="Arial"/>
          <w:szCs w:val="24"/>
        </w:rPr>
      </w:pPr>
      <w:r w:rsidRPr="00E4588C">
        <w:rPr>
          <w:rFonts w:cs="Arial"/>
          <w:szCs w:val="24"/>
        </w:rPr>
        <w:t>Nella fase di correzione tecnica è possibile procedere in contemporanea su più discipline scritte aprendo più buste, garantendo comunque sempre la presenza di almeno due commissari impegnati nella correzione.</w:t>
      </w:r>
    </w:p>
    <w:p w14:paraId="04EBB1DF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In considerazione della collegialità del momento valutativo si deve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calendarizzare, in sede di riunione preliminare, l’apposita riunione collegiale. Si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ricorda la necessità di completezza nella stesura del relativo verbale.</w:t>
      </w:r>
    </w:p>
    <w:p w14:paraId="611359E1" w14:textId="77777777" w:rsidR="00502DD1" w:rsidRDefault="00502DD1" w:rsidP="00502DD1">
      <w:pPr>
        <w:rPr>
          <w:rFonts w:cs="Arial"/>
          <w:szCs w:val="24"/>
        </w:rPr>
      </w:pPr>
      <w:r w:rsidRPr="005D08DE">
        <w:rPr>
          <w:rFonts w:cs="Arial"/>
          <w:szCs w:val="24"/>
          <w:u w:val="single"/>
        </w:rPr>
        <w:t>Nel caso di errore materiale</w:t>
      </w:r>
      <w:r w:rsidRPr="00F9770B">
        <w:rPr>
          <w:rFonts w:cs="Arial"/>
          <w:szCs w:val="24"/>
        </w:rPr>
        <w:t xml:space="preserve"> nell’attribuzione dei giudizi si procede nel seguente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 xml:space="preserve">modo: </w:t>
      </w:r>
    </w:p>
    <w:p w14:paraId="3E6BEA79" w14:textId="77777777" w:rsidR="00502DD1" w:rsidRDefault="00502DD1" w:rsidP="00502DD1">
      <w:pPr>
        <w:pStyle w:val="Paragrafoelenco"/>
        <w:numPr>
          <w:ilvl w:val="0"/>
          <w:numId w:val="29"/>
        </w:numPr>
        <w:rPr>
          <w:rFonts w:cs="Arial"/>
          <w:szCs w:val="24"/>
        </w:rPr>
      </w:pPr>
      <w:r w:rsidRPr="00F276C1">
        <w:rPr>
          <w:rFonts w:cs="Arial"/>
          <w:szCs w:val="24"/>
        </w:rPr>
        <w:t>si barra la valutazione errata, che deve rimanere comunque visibile</w:t>
      </w:r>
      <w:r>
        <w:rPr>
          <w:rFonts w:cs="Arial"/>
          <w:szCs w:val="24"/>
        </w:rPr>
        <w:t>;</w:t>
      </w:r>
    </w:p>
    <w:p w14:paraId="4D0F06B6" w14:textId="77777777" w:rsidR="00502DD1" w:rsidRDefault="00502DD1" w:rsidP="00502DD1">
      <w:pPr>
        <w:pStyle w:val="Paragrafoelenco"/>
        <w:numPr>
          <w:ilvl w:val="0"/>
          <w:numId w:val="29"/>
        </w:numPr>
        <w:rPr>
          <w:rFonts w:cs="Arial"/>
          <w:szCs w:val="24"/>
        </w:rPr>
      </w:pPr>
      <w:r w:rsidRPr="00F276C1">
        <w:rPr>
          <w:rFonts w:cs="Arial"/>
          <w:szCs w:val="24"/>
        </w:rPr>
        <w:t xml:space="preserve">si </w:t>
      </w:r>
      <w:r w:rsidRPr="00F9770B">
        <w:rPr>
          <w:rFonts w:cs="Arial"/>
          <w:szCs w:val="24"/>
        </w:rPr>
        <w:t xml:space="preserve">riporta il giudizio corretto; </w:t>
      </w:r>
    </w:p>
    <w:p w14:paraId="54815D64" w14:textId="77777777" w:rsidR="00502DD1" w:rsidRDefault="00502DD1" w:rsidP="00502DD1">
      <w:pPr>
        <w:pStyle w:val="Paragrafoelenco"/>
        <w:numPr>
          <w:ilvl w:val="0"/>
          <w:numId w:val="29"/>
        </w:numPr>
        <w:rPr>
          <w:rFonts w:cs="Arial"/>
          <w:szCs w:val="24"/>
        </w:rPr>
      </w:pPr>
      <w:r w:rsidRPr="00F9770B">
        <w:rPr>
          <w:rFonts w:cs="Arial"/>
          <w:szCs w:val="24"/>
        </w:rPr>
        <w:t>vengono poi apposti il timbro e la firma del</w:t>
      </w:r>
      <w:r w:rsidRPr="00F276C1"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Presidente con a fianco la dizione “SI CONVALIDA LA CORREZIONE” in</w:t>
      </w:r>
      <w:r w:rsidRPr="00F276C1"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stampato maiuscolo.</w:t>
      </w:r>
    </w:p>
    <w:p w14:paraId="1973D5BA" w14:textId="77777777" w:rsidR="00502DD1" w:rsidRDefault="00502DD1" w:rsidP="00502DD1">
      <w:pPr>
        <w:rPr>
          <w:rFonts w:cs="Arial"/>
          <w:b/>
          <w:bCs/>
          <w:szCs w:val="24"/>
        </w:rPr>
      </w:pPr>
    </w:p>
    <w:p w14:paraId="01E8A70A" w14:textId="58E66314" w:rsidR="00502DD1" w:rsidRPr="00E4588C" w:rsidRDefault="00502DD1" w:rsidP="00502DD1">
      <w:pPr>
        <w:rPr>
          <w:rFonts w:cs="Arial"/>
          <w:szCs w:val="24"/>
        </w:rPr>
      </w:pPr>
      <w:r w:rsidRPr="00E4588C">
        <w:rPr>
          <w:rFonts w:cs="Arial"/>
          <w:b/>
          <w:bCs/>
          <w:szCs w:val="24"/>
        </w:rPr>
        <w:t>COLLOQUIO</w:t>
      </w:r>
    </w:p>
    <w:p w14:paraId="555CD8B6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Il colloquio viene condotto collegialmente dalla sottocommissione, ponendo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particolare attenzione alla capacità di argomentazione, di risoluzione di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problemi, di pensiero critico e riflessivo, di collegamento organico e significativo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tra le varie discipline di studio.</w:t>
      </w:r>
    </w:p>
    <w:p w14:paraId="65F2B328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lastRenderedPageBreak/>
        <w:t>La sottocommissione è tenuta ad operare sempre in presenza dei docenti di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tutte le discipline. La mancanza anche di un solo commissario, sebbene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momentanea, è causa sufficiente di invalidazione del colloquio.</w:t>
      </w:r>
    </w:p>
    <w:p w14:paraId="2ACFEBBC" w14:textId="77777777" w:rsidR="00502DD1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 xml:space="preserve">Il colloquio è pubblico come previsto dal D.P.R. 487/1994, art. 6, comma 4. </w:t>
      </w:r>
    </w:p>
    <w:p w14:paraId="05935BD9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Il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Presidente o, in sua assenza, il docente coordinatore della sottocommissione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deve intervenire per vietare la registrazione di filmati relativi al colloquio ed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 xml:space="preserve">evitare situazioni di illegittimità come indebite diffusioni in rete. </w:t>
      </w:r>
    </w:p>
    <w:p w14:paraId="0137516D" w14:textId="77777777" w:rsidR="00502DD1" w:rsidRPr="00E4588C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La sottocommissione deve astenersi dal rilasciare qualsiasi informazione in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merito alla valutazione espressa sul colloquio, in quanto l’esito finale viene reso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disponibile agli aventi diritto solo al termine della riunione plenaria conclusiva,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all’atto della pubblicazione.</w:t>
      </w:r>
    </w:p>
    <w:p w14:paraId="6C2CE6DF" w14:textId="77777777" w:rsidR="00502DD1" w:rsidRDefault="00502DD1" w:rsidP="00502DD1">
      <w:pPr>
        <w:rPr>
          <w:rFonts w:cs="Arial"/>
          <w:b/>
          <w:bCs/>
          <w:szCs w:val="24"/>
        </w:rPr>
      </w:pPr>
    </w:p>
    <w:p w14:paraId="423B81EA" w14:textId="0BDB03C9" w:rsidR="00502DD1" w:rsidRPr="00F9770B" w:rsidRDefault="00502DD1" w:rsidP="00502DD1">
      <w:pPr>
        <w:rPr>
          <w:rFonts w:cs="Arial"/>
          <w:b/>
          <w:bCs/>
          <w:szCs w:val="24"/>
        </w:rPr>
      </w:pPr>
      <w:r w:rsidRPr="00F9770B">
        <w:rPr>
          <w:rFonts w:cs="Arial"/>
          <w:b/>
          <w:bCs/>
          <w:szCs w:val="24"/>
        </w:rPr>
        <w:t>RIUNIONE PLENARIA FINALE</w:t>
      </w:r>
    </w:p>
    <w:p w14:paraId="7FF3B423" w14:textId="77777777" w:rsidR="00502DD1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La commissione d’esame delibera, su proposta delle sottocommissioni, la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valutazione finale complessiva espressa con il giudizio/voto.</w:t>
      </w:r>
    </w:p>
    <w:p w14:paraId="4352AEFB" w14:textId="77777777" w:rsidR="00502DD1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Il compito della commissione è quello di esprimere un giudizio in merito alla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regolarità dei lavori in tutte le fasi in cui è stata chiamata ad operare, sia in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forma plenaria sia mediante le sue singole articolazioni. In questa sede si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provvede a ratificare i risultati proposti dalle sottocommissioni.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Il Presidente quindi chiede se ci sono osservazioni o rilievi da fare sulla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regolarità delle operazioni.</w:t>
      </w:r>
    </w:p>
    <w:p w14:paraId="560FAE38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Qualora uno o più commissari dovessero esprimere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forme di dissenso, queste comunque non estinguono l’obbligo alla firma dei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verbali o del registro generale degli esami da parte degli stessi.</w:t>
      </w:r>
    </w:p>
    <w:p w14:paraId="329B8EC9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Tutte le decisioni devono essere adottate a maggioranza; in caso di parità,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prevale il voto del Presidente.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A questo proposito e per analogia nei restanti casi si rammenta che tutti 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commissari sono chiamati ad esprimersi attraverso l’espressione di voto, non è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prevista quindi l’astensione (O.M. 90/2001 art. 9 comma 35), eventuali forme di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dissenso da parte dei commissari devono essere verbalizzate ed eventualmente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chiarite prima della votazione plenaria.</w:t>
      </w:r>
    </w:p>
    <w:p w14:paraId="14C172D7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L’unica circostanza nella quale il voto di astensione risulta non solo ammissibile,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anzi necessario, riguarda l’insegnante in condizione di incompatibilità.</w:t>
      </w:r>
    </w:p>
    <w:p w14:paraId="5C5F4FF6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I commissari devono firmare il registro dei verbali e quello generale degli esami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nella parte iniziale e finale.</w:t>
      </w:r>
    </w:p>
    <w:p w14:paraId="4F8B7080" w14:textId="77777777" w:rsidR="00502DD1" w:rsidRPr="00F9770B" w:rsidRDefault="00502DD1" w:rsidP="00502DD1">
      <w:pPr>
        <w:rPr>
          <w:rFonts w:cs="Arial"/>
          <w:szCs w:val="24"/>
        </w:rPr>
      </w:pPr>
    </w:p>
    <w:p w14:paraId="3367BA10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Gli esiti finali dell’esame di Stato sono resi pubblici con l’esposizione del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tabellone di ogni singola classe affisso all’albo dell’istituzione scolastica,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autenticato con la firma del Presidente e il timbro; per i candidati che non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superano l’esame si riporta la dicitura “ESAME NON SUPERATO”, senza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esplicitazione del giudizio/voto finale.</w:t>
      </w:r>
    </w:p>
    <w:p w14:paraId="2D59D04E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Sul tabellone non devono essere menzionate eventuali prove sostenute in modo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differenziato.</w:t>
      </w:r>
    </w:p>
    <w:p w14:paraId="699907AA" w14:textId="77777777" w:rsidR="00502DD1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Per i candidati con disabilità si procede come qui di seguito indicato:</w:t>
      </w:r>
    </w:p>
    <w:p w14:paraId="2EC801F7" w14:textId="77777777" w:rsidR="00502DD1" w:rsidRDefault="00502DD1" w:rsidP="00502DD1">
      <w:pPr>
        <w:pStyle w:val="Paragrafoelenco"/>
        <w:numPr>
          <w:ilvl w:val="0"/>
          <w:numId w:val="30"/>
        </w:numPr>
        <w:rPr>
          <w:rFonts w:cs="Arial"/>
          <w:szCs w:val="24"/>
        </w:rPr>
      </w:pPr>
      <w:r w:rsidRPr="00390D76">
        <w:rPr>
          <w:rFonts w:cs="Arial"/>
          <w:szCs w:val="24"/>
        </w:rPr>
        <w:t xml:space="preserve">se il candidato ha superato l’esame, a fianco al suo nome si riporta la </w:t>
      </w:r>
      <w:r w:rsidRPr="00F9770B">
        <w:rPr>
          <w:rFonts w:cs="Arial"/>
          <w:szCs w:val="24"/>
        </w:rPr>
        <w:t>relativa espressione di giudizio/voto;</w:t>
      </w:r>
    </w:p>
    <w:p w14:paraId="4A002836" w14:textId="77777777" w:rsidR="00502DD1" w:rsidRPr="00F9770B" w:rsidRDefault="00502DD1" w:rsidP="00502DD1">
      <w:pPr>
        <w:pStyle w:val="Paragrafoelenco"/>
        <w:numPr>
          <w:ilvl w:val="0"/>
          <w:numId w:val="30"/>
        </w:numPr>
        <w:rPr>
          <w:rFonts w:cs="Arial"/>
          <w:szCs w:val="24"/>
        </w:rPr>
      </w:pPr>
      <w:r w:rsidRPr="00390D76">
        <w:rPr>
          <w:rFonts w:cs="Arial"/>
          <w:szCs w:val="24"/>
        </w:rPr>
        <w:t xml:space="preserve">se il candidato non si è presentato all’esame e l’assenza non è stata </w:t>
      </w:r>
      <w:r w:rsidRPr="00F9770B">
        <w:rPr>
          <w:rFonts w:cs="Arial"/>
          <w:szCs w:val="24"/>
        </w:rPr>
        <w:t>giustificata (quindi non sono state calendarizzate prove suppletive) il suo</w:t>
      </w:r>
      <w:r w:rsidRPr="00390D76"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cognome non apparirà sul tabellone.</w:t>
      </w:r>
    </w:p>
    <w:p w14:paraId="03138466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Il tabellone viene pubblicato esclusivamente al termine dall’assemblea plenaria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finale.</w:t>
      </w:r>
    </w:p>
    <w:p w14:paraId="1ECAFC4C" w14:textId="77777777" w:rsidR="00502DD1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Tutta la documentazione qui di seguito elencata va raccolta e debitamente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conservata:</w:t>
      </w:r>
    </w:p>
    <w:p w14:paraId="6C3DAEC6" w14:textId="77777777" w:rsidR="00502DD1" w:rsidRDefault="00502DD1" w:rsidP="00502DD1">
      <w:pPr>
        <w:pStyle w:val="Paragrafoelenco"/>
        <w:numPr>
          <w:ilvl w:val="0"/>
          <w:numId w:val="31"/>
        </w:numPr>
        <w:rPr>
          <w:rFonts w:cs="Arial"/>
          <w:szCs w:val="24"/>
        </w:rPr>
      </w:pPr>
      <w:r w:rsidRPr="00390D76">
        <w:rPr>
          <w:rFonts w:cs="Arial"/>
          <w:szCs w:val="24"/>
        </w:rPr>
        <w:t>il registro dei verbali della commissione e sottocommissioni;</w:t>
      </w:r>
    </w:p>
    <w:p w14:paraId="1566D77F" w14:textId="77777777" w:rsidR="00502DD1" w:rsidRDefault="00502DD1" w:rsidP="00502DD1">
      <w:pPr>
        <w:pStyle w:val="Paragrafoelenco"/>
        <w:numPr>
          <w:ilvl w:val="0"/>
          <w:numId w:val="31"/>
        </w:numPr>
        <w:rPr>
          <w:rFonts w:cs="Arial"/>
          <w:szCs w:val="24"/>
        </w:rPr>
      </w:pPr>
      <w:r w:rsidRPr="00E570FD">
        <w:rPr>
          <w:rFonts w:cs="Arial"/>
          <w:szCs w:val="24"/>
        </w:rPr>
        <w:t>gli atti preparatori</w:t>
      </w:r>
    </w:p>
    <w:p w14:paraId="2565D677" w14:textId="77777777" w:rsidR="00502DD1" w:rsidRDefault="00502DD1" w:rsidP="00502DD1">
      <w:pPr>
        <w:pStyle w:val="Paragrafoelenco"/>
        <w:numPr>
          <w:ilvl w:val="0"/>
          <w:numId w:val="31"/>
        </w:numPr>
        <w:rPr>
          <w:rFonts w:cs="Arial"/>
          <w:szCs w:val="24"/>
        </w:rPr>
      </w:pPr>
      <w:r w:rsidRPr="00E570FD">
        <w:rPr>
          <w:rFonts w:cs="Arial"/>
          <w:szCs w:val="24"/>
        </w:rPr>
        <w:t>le tracce delle prove estratte e non estratte;</w:t>
      </w:r>
    </w:p>
    <w:p w14:paraId="4EE156F7" w14:textId="77777777" w:rsidR="00502DD1" w:rsidRDefault="00502DD1" w:rsidP="00502DD1">
      <w:pPr>
        <w:pStyle w:val="Paragrafoelenco"/>
        <w:numPr>
          <w:ilvl w:val="0"/>
          <w:numId w:val="31"/>
        </w:numPr>
        <w:rPr>
          <w:rFonts w:cs="Arial"/>
          <w:szCs w:val="24"/>
        </w:rPr>
      </w:pPr>
      <w:r w:rsidRPr="00E570FD">
        <w:rPr>
          <w:rFonts w:cs="Arial"/>
          <w:szCs w:val="24"/>
        </w:rPr>
        <w:t>le schede individuali dei singoli candidati;</w:t>
      </w:r>
    </w:p>
    <w:p w14:paraId="35D2235D" w14:textId="77777777" w:rsidR="00502DD1" w:rsidRDefault="00502DD1" w:rsidP="00502DD1">
      <w:pPr>
        <w:pStyle w:val="Paragrafoelenco"/>
        <w:numPr>
          <w:ilvl w:val="0"/>
          <w:numId w:val="31"/>
        </w:numPr>
        <w:rPr>
          <w:rFonts w:cs="Arial"/>
          <w:szCs w:val="24"/>
        </w:rPr>
      </w:pPr>
      <w:r w:rsidRPr="00E570FD">
        <w:rPr>
          <w:rFonts w:cs="Arial"/>
          <w:szCs w:val="24"/>
        </w:rPr>
        <w:t xml:space="preserve">la documentazione relativa alle fasi organizzative degli esami (calendario </w:t>
      </w:r>
      <w:r w:rsidRPr="00F9770B">
        <w:rPr>
          <w:rFonts w:cs="Arial"/>
          <w:szCs w:val="24"/>
        </w:rPr>
        <w:t>dei colloqui ecc.) ed eventuali documenti allegati e approvati dalla</w:t>
      </w:r>
      <w:r w:rsidRPr="00E570FD"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Commissione plenaria il primo giorno</w:t>
      </w:r>
      <w:r>
        <w:rPr>
          <w:rFonts w:cs="Arial"/>
          <w:szCs w:val="24"/>
        </w:rPr>
        <w:t>;</w:t>
      </w:r>
    </w:p>
    <w:p w14:paraId="59A37443" w14:textId="77777777" w:rsidR="00502DD1" w:rsidRPr="00E570FD" w:rsidRDefault="00502DD1" w:rsidP="00502DD1">
      <w:pPr>
        <w:pStyle w:val="Paragrafoelenco"/>
        <w:numPr>
          <w:ilvl w:val="0"/>
          <w:numId w:val="31"/>
        </w:numPr>
        <w:rPr>
          <w:rFonts w:cs="Arial"/>
          <w:szCs w:val="24"/>
        </w:rPr>
      </w:pPr>
      <w:r w:rsidRPr="00E570FD">
        <w:rPr>
          <w:rFonts w:cs="Arial"/>
          <w:szCs w:val="24"/>
        </w:rPr>
        <w:t>i verbali delle singole prove scritte.</w:t>
      </w:r>
    </w:p>
    <w:p w14:paraId="6EB00122" w14:textId="77777777" w:rsidR="00502DD1" w:rsidRDefault="00502DD1" w:rsidP="00502DD1">
      <w:r w:rsidRPr="00F9770B">
        <w:t>Tutto il suddetto materiale raccolto in un pacco chiuso e sigillato con nastro</w:t>
      </w:r>
      <w:r>
        <w:t xml:space="preserve"> </w:t>
      </w:r>
      <w:r w:rsidRPr="00F9770B">
        <w:t>adesivo reca apposta la dicitura: “Esame di Stato conclusivo del primo ciclo di</w:t>
      </w:r>
      <w:r>
        <w:t xml:space="preserve"> </w:t>
      </w:r>
      <w:r w:rsidRPr="00F9770B">
        <w:t>istruzione, anno scolastico di riferimento”, con la firma del Presidente e il</w:t>
      </w:r>
      <w:r>
        <w:t xml:space="preserve"> </w:t>
      </w:r>
      <w:r w:rsidRPr="00F9770B">
        <w:t>timbro.</w:t>
      </w:r>
    </w:p>
    <w:p w14:paraId="71286A89" w14:textId="77777777" w:rsidR="00502DD1" w:rsidRPr="00F9770B" w:rsidRDefault="00502DD1" w:rsidP="00502DD1">
      <w:r w:rsidRPr="00F9770B">
        <w:t>Il Presidente deve:</w:t>
      </w:r>
    </w:p>
    <w:p w14:paraId="368C0D45" w14:textId="77777777" w:rsidR="00502DD1" w:rsidRDefault="00502DD1" w:rsidP="00502DD1">
      <w:pPr>
        <w:pStyle w:val="Paragrafoelenco"/>
        <w:numPr>
          <w:ilvl w:val="0"/>
          <w:numId w:val="32"/>
        </w:numPr>
        <w:rPr>
          <w:rFonts w:cs="Arial"/>
          <w:szCs w:val="24"/>
        </w:rPr>
      </w:pPr>
      <w:r w:rsidRPr="00E570FD">
        <w:rPr>
          <w:rFonts w:cs="Arial"/>
          <w:szCs w:val="24"/>
        </w:rPr>
        <w:t xml:space="preserve">curare l’affissione dei tabelloni all’albo, al termine della riunione plenaria, e </w:t>
      </w:r>
      <w:r w:rsidRPr="00F9770B">
        <w:rPr>
          <w:rFonts w:cs="Arial"/>
          <w:szCs w:val="24"/>
        </w:rPr>
        <w:t>comunque non oltre il 30 giugno, termine ultimo per la chiusura delle</w:t>
      </w:r>
      <w:r w:rsidRPr="00E570FD"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operazioni d’esame;</w:t>
      </w:r>
    </w:p>
    <w:p w14:paraId="35E5E184" w14:textId="77777777" w:rsidR="00502DD1" w:rsidRDefault="00502DD1" w:rsidP="00502DD1">
      <w:pPr>
        <w:pStyle w:val="Paragrafoelenco"/>
        <w:numPr>
          <w:ilvl w:val="0"/>
          <w:numId w:val="32"/>
        </w:numPr>
        <w:rPr>
          <w:rFonts w:cs="Arial"/>
          <w:szCs w:val="24"/>
        </w:rPr>
      </w:pPr>
      <w:r w:rsidRPr="00E570FD">
        <w:rPr>
          <w:rFonts w:cs="Arial"/>
          <w:szCs w:val="24"/>
        </w:rPr>
        <w:lastRenderedPageBreak/>
        <w:t xml:space="preserve">firmare gli elenchi dei candidati che hanno superato l’esame per la richiesta </w:t>
      </w:r>
      <w:r w:rsidRPr="00F9770B">
        <w:rPr>
          <w:rFonts w:cs="Arial"/>
          <w:szCs w:val="24"/>
        </w:rPr>
        <w:t>dei diplomi;</w:t>
      </w:r>
    </w:p>
    <w:p w14:paraId="4F094970" w14:textId="77777777" w:rsidR="00502DD1" w:rsidRPr="00F9770B" w:rsidRDefault="00502DD1" w:rsidP="00502DD1">
      <w:pPr>
        <w:pStyle w:val="Paragrafoelenco"/>
        <w:numPr>
          <w:ilvl w:val="0"/>
          <w:numId w:val="32"/>
        </w:numPr>
        <w:rPr>
          <w:rFonts w:cs="Arial"/>
          <w:szCs w:val="24"/>
        </w:rPr>
      </w:pPr>
      <w:r w:rsidRPr="00E570FD">
        <w:rPr>
          <w:rFonts w:cs="Arial"/>
          <w:szCs w:val="24"/>
        </w:rPr>
        <w:t xml:space="preserve">rilevare i dati e relazionare in merito all’andamento e agli esiti degli esami </w:t>
      </w:r>
      <w:r w:rsidRPr="00F9770B">
        <w:rPr>
          <w:rFonts w:cs="Arial"/>
          <w:szCs w:val="24"/>
        </w:rPr>
        <w:t>per l’eventuale invio online al fine delle rilevazioni statistiche.</w:t>
      </w:r>
    </w:p>
    <w:p w14:paraId="32532847" w14:textId="77777777" w:rsidR="00502DD1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Sul registro generale degli esami e sul tabellone va indicata la data della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plenaria finale.</w:t>
      </w:r>
    </w:p>
    <w:p w14:paraId="0A9B2A7E" w14:textId="77777777" w:rsidR="00502DD1" w:rsidRDefault="00502DD1" w:rsidP="00502DD1">
      <w:pPr>
        <w:rPr>
          <w:rFonts w:cs="Arial"/>
          <w:b/>
          <w:bCs/>
          <w:szCs w:val="24"/>
        </w:rPr>
      </w:pPr>
    </w:p>
    <w:p w14:paraId="3B3CF66C" w14:textId="4EC11C22" w:rsidR="00502DD1" w:rsidRPr="00F9770B" w:rsidRDefault="00502DD1" w:rsidP="00502DD1">
      <w:pPr>
        <w:rPr>
          <w:rFonts w:cs="Arial"/>
          <w:b/>
          <w:bCs/>
          <w:szCs w:val="24"/>
        </w:rPr>
      </w:pPr>
      <w:r w:rsidRPr="00F9770B">
        <w:rPr>
          <w:rFonts w:cs="Arial"/>
          <w:b/>
          <w:bCs/>
          <w:szCs w:val="24"/>
        </w:rPr>
        <w:t>PROVE SUPPLETIVE E PARTICOLARI MODALIT</w:t>
      </w:r>
      <w:r>
        <w:rPr>
          <w:rFonts w:cs="Arial"/>
          <w:b/>
          <w:bCs/>
          <w:szCs w:val="24"/>
        </w:rPr>
        <w:t>À</w:t>
      </w:r>
      <w:r w:rsidRPr="00F9770B">
        <w:rPr>
          <w:rFonts w:cs="Arial"/>
          <w:b/>
          <w:bCs/>
          <w:szCs w:val="24"/>
        </w:rPr>
        <w:t xml:space="preserve"> DI</w:t>
      </w:r>
      <w:r>
        <w:rPr>
          <w:rFonts w:cs="Arial"/>
          <w:b/>
          <w:bCs/>
          <w:szCs w:val="24"/>
        </w:rPr>
        <w:t xml:space="preserve"> </w:t>
      </w:r>
      <w:r w:rsidRPr="00F9770B">
        <w:rPr>
          <w:rFonts w:cs="Arial"/>
          <w:b/>
          <w:bCs/>
          <w:szCs w:val="24"/>
        </w:rPr>
        <w:t>SVOLGIMENTO DELL’ESAME DI STATO</w:t>
      </w:r>
    </w:p>
    <w:p w14:paraId="2CC663C7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L’articolo 8 comma 10 del decreto legislativo 13 aprile 2017 n. 62 e l’articolo 11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del decreto ministeriale n. 741/2017 prevedono che per gli alunni risultati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assenti ad una o più prove, per gravi motivi documentati, valutati dal Consiglio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di classe, la Commissione predisponga una sessione suppletiva d’esame che si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conclude entro il 30 giugno e, comunque, in casi eccezionali, entro il termine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dell’anno scolastico</w:t>
      </w:r>
      <w:r>
        <w:rPr>
          <w:rFonts w:cs="Arial"/>
          <w:szCs w:val="24"/>
        </w:rPr>
        <w:t xml:space="preserve"> (31 agosto)</w:t>
      </w:r>
      <w:r w:rsidRPr="00F9770B">
        <w:rPr>
          <w:rFonts w:cs="Arial"/>
          <w:szCs w:val="24"/>
        </w:rPr>
        <w:t>.</w:t>
      </w:r>
    </w:p>
    <w:p w14:paraId="51EE9B44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L’assenza del candidato durante le prove deve essere adeguatamente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documentata sia per malattia che per gravi motivi. In tal caso è necessario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seguire la normativa sulle prove suppletive e informare tempestivamente la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struttura provinciale competente in materia di esami di Stato per gli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adempimenti di competenza.</w:t>
      </w:r>
    </w:p>
    <w:p w14:paraId="49C74E9A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L’O.M. 90/2001 all’art. 6, comma 1 precisa che vanno predisposte dalla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commissione d’esame prove suppletive seguendo gli stessi criteri utilizzati per la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sessione normale.</w:t>
      </w:r>
    </w:p>
    <w:p w14:paraId="7E1F4E0C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In caso di malattia del candidato occorre che il genitore presenti un certificato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medico che attesti, in particolare, l’impossibilità a sostenere le prove scritte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e/o il colloquio per motivi di salute, con l’indicazione del periodo. Le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informazioni in merito vanno verbalizzate allegando la relativa documentazione.</w:t>
      </w:r>
    </w:p>
    <w:p w14:paraId="120215FA" w14:textId="77777777" w:rsidR="00502DD1" w:rsidRPr="00F9770B" w:rsidRDefault="00502DD1" w:rsidP="00502DD1">
      <w:pPr>
        <w:rPr>
          <w:rFonts w:cs="Arial"/>
          <w:szCs w:val="24"/>
        </w:rPr>
      </w:pPr>
      <w:r w:rsidRPr="00F9770B">
        <w:rPr>
          <w:rFonts w:cs="Arial"/>
          <w:szCs w:val="24"/>
        </w:rPr>
        <w:t>Possono essere motivo di assenza anche gravi e documentati motivi, sottoposti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alla valutazione del Presidente che fissa un altro calendario per le prove scritte o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per il colloquio per i quali si è verificata l’assenza. La sessione suppletiva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d’esame si deve concludere entro il 30 giugno e, comunque, in casi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eccezionali, entro il termine dell’anno scolastico (art.11 D.M. 741/2017).</w:t>
      </w:r>
    </w:p>
    <w:p w14:paraId="7511D5C8" w14:textId="77777777" w:rsidR="00502DD1" w:rsidRPr="00D84269" w:rsidRDefault="00502DD1" w:rsidP="00502DD1">
      <w:pPr>
        <w:rPr>
          <w:rStyle w:val="Enfasicorsivo"/>
          <w:rFonts w:cs="Arial"/>
          <w:b w:val="0"/>
          <w:bCs w:val="0"/>
          <w:szCs w:val="24"/>
        </w:rPr>
      </w:pPr>
      <w:r w:rsidRPr="00F9770B">
        <w:rPr>
          <w:rFonts w:cs="Arial"/>
          <w:szCs w:val="24"/>
        </w:rPr>
        <w:t>Superato il 30 giugno, quindi, la riconvocazione per le prove è effettuata entro</w:t>
      </w:r>
      <w:r>
        <w:rPr>
          <w:rFonts w:cs="Arial"/>
          <w:szCs w:val="24"/>
        </w:rPr>
        <w:t xml:space="preserve"> </w:t>
      </w:r>
      <w:r w:rsidRPr="00F9770B">
        <w:rPr>
          <w:rFonts w:cs="Arial"/>
          <w:szCs w:val="24"/>
        </w:rPr>
        <w:t>la fine dell’anno scolastico</w:t>
      </w:r>
      <w:r>
        <w:rPr>
          <w:rFonts w:cs="Arial"/>
          <w:szCs w:val="24"/>
        </w:rPr>
        <w:t xml:space="preserve"> (31 agosto)</w:t>
      </w:r>
      <w:r w:rsidRPr="00F9770B">
        <w:rPr>
          <w:rFonts w:cs="Arial"/>
          <w:szCs w:val="24"/>
        </w:rPr>
        <w:t>.</w:t>
      </w:r>
    </w:p>
    <w:p w14:paraId="11D4F155" w14:textId="656843BE" w:rsidR="00A53D49" w:rsidRPr="00502DD1" w:rsidRDefault="00A53D49" w:rsidP="00502DD1"/>
    <w:sectPr w:rsidR="00A53D49" w:rsidRPr="00502DD1" w:rsidSect="008D413F">
      <w:headerReference w:type="default" r:id="rId8"/>
      <w:pgSz w:w="11906" w:h="16838" w:code="9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7676B" w14:textId="77777777" w:rsidR="00D15FDC" w:rsidRDefault="00D15FDC" w:rsidP="005E6E16">
      <w:r>
        <w:separator/>
      </w:r>
    </w:p>
  </w:endnote>
  <w:endnote w:type="continuationSeparator" w:id="0">
    <w:p w14:paraId="61514AD7" w14:textId="77777777" w:rsidR="00D15FDC" w:rsidRDefault="00D15FDC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670B1" w14:textId="77777777" w:rsidR="00D15FDC" w:rsidRDefault="00D15FDC" w:rsidP="005E6E16">
      <w:r>
        <w:separator/>
      </w:r>
    </w:p>
  </w:footnote>
  <w:footnote w:type="continuationSeparator" w:id="0">
    <w:p w14:paraId="1125F413" w14:textId="77777777" w:rsidR="00D15FDC" w:rsidRDefault="00D15FDC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8D413F" w14:paraId="5AFFDC60" w14:textId="77777777" w:rsidTr="00E64902">
      <w:tc>
        <w:tcPr>
          <w:tcW w:w="1134" w:type="dxa"/>
          <w:shd w:val="clear" w:color="auto" w:fill="auto"/>
          <w:vAlign w:val="center"/>
        </w:tcPr>
        <w:p w14:paraId="1839E66D" w14:textId="68229CAF" w:rsidR="008D413F" w:rsidRDefault="004F34F6" w:rsidP="00E64902">
          <w:pPr>
            <w:jc w:val="center"/>
          </w:pPr>
          <w:r>
            <w:rPr>
              <w:noProof/>
            </w:rPr>
            <w:drawing>
              <wp:inline distT="0" distB="0" distL="0" distR="0" wp14:anchorId="74A936AB" wp14:editId="1CBF0B56">
                <wp:extent cx="637281" cy="723900"/>
                <wp:effectExtent l="0" t="0" r="0" b="0"/>
                <wp:docPr id="1" name="Elemento grafico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lemento grafico 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90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shd w:val="clear" w:color="auto" w:fill="auto"/>
          <w:vAlign w:val="center"/>
        </w:tcPr>
        <w:p w14:paraId="00499D5F" w14:textId="77777777" w:rsidR="008D413F" w:rsidRPr="00E64902" w:rsidRDefault="008D413F" w:rsidP="00E64902">
          <w:pPr>
            <w:pStyle w:val="Intestazione"/>
            <w:tabs>
              <w:tab w:val="clear" w:pos="4819"/>
              <w:tab w:val="clear" w:pos="9638"/>
            </w:tabs>
            <w:jc w:val="center"/>
            <w:rPr>
              <w:rFonts w:ascii="Calibri" w:hAnsi="Calibri" w:cs="Calibri"/>
              <w:bCs/>
              <w:sz w:val="40"/>
              <w:szCs w:val="40"/>
            </w:rPr>
          </w:pPr>
          <w:r w:rsidRPr="00E64902">
            <w:rPr>
              <w:rFonts w:ascii="Calibri" w:hAnsi="Calibri" w:cs="Calibri"/>
              <w:bCs/>
              <w:sz w:val="40"/>
              <w:szCs w:val="40"/>
            </w:rPr>
            <w:t>ISTITUTO COMPRENSIVO “LIBERO ANDREOTTI”</w:t>
          </w:r>
        </w:p>
        <w:p w14:paraId="2326FAB7" w14:textId="61362F48" w:rsidR="008D413F" w:rsidRPr="00E64902" w:rsidRDefault="008D413F" w:rsidP="00E64902">
          <w:pPr>
            <w:jc w:val="center"/>
            <w:rPr>
              <w:rStyle w:val="Collegamentoipertestuale"/>
              <w:sz w:val="20"/>
            </w:rPr>
          </w:pPr>
          <w:r w:rsidRPr="00E64902">
            <w:rPr>
              <w:sz w:val="20"/>
            </w:rPr>
            <w:t xml:space="preserve">Via </w:t>
          </w:r>
          <w:r w:rsidR="00845698" w:rsidRPr="00E64902">
            <w:rPr>
              <w:sz w:val="20"/>
            </w:rPr>
            <w:t>Gian Carlo Leonardo</w:t>
          </w:r>
          <w:r w:rsidR="001A799A" w:rsidRPr="00E64902">
            <w:rPr>
              <w:sz w:val="20"/>
            </w:rPr>
            <w:t xml:space="preserve"> Simonde de Sismondi </w:t>
          </w:r>
          <w:r w:rsidRPr="00E64902">
            <w:rPr>
              <w:sz w:val="20"/>
            </w:rPr>
            <w:t>19, 51017 Pescia (PT) –</w:t>
          </w:r>
          <w:r w:rsidRPr="00E64902">
            <w:rPr>
              <w:sz w:val="20"/>
            </w:rPr>
            <w:sym w:font="Wingdings 2" w:char="F027"/>
          </w:r>
          <w:r w:rsidRPr="00E64902">
            <w:rPr>
              <w:sz w:val="20"/>
            </w:rPr>
            <w:t xml:space="preserve"> 0572.47050 – </w:t>
          </w:r>
          <w:r w:rsidRPr="00E64902">
            <w:rPr>
              <w:sz w:val="20"/>
            </w:rPr>
            <w:sym w:font="Wingdings 2" w:char="F037"/>
          </w:r>
          <w:r w:rsidRPr="00E64902">
            <w:rPr>
              <w:sz w:val="20"/>
            </w:rPr>
            <w:t xml:space="preserve"> 0572.499252</w:t>
          </w:r>
          <w:r w:rsidRPr="00E64902">
            <w:rPr>
              <w:sz w:val="20"/>
            </w:rPr>
            <w:br/>
          </w:r>
          <w:hyperlink r:id="rId2" w:history="1">
            <w:r w:rsidRPr="00E64902">
              <w:rPr>
                <w:rStyle w:val="Collegamentoipertestuale"/>
                <w:sz w:val="20"/>
              </w:rPr>
              <w:t>http://www.icandreottipescia.edu.it</w:t>
            </w:r>
          </w:hyperlink>
          <w:r w:rsidR="001A799A" w:rsidRPr="00E64902">
            <w:rPr>
              <w:rStyle w:val="Collegamentoipertestuale"/>
              <w:sz w:val="20"/>
              <w:u w:val="none"/>
            </w:rPr>
            <w:t xml:space="preserve"> </w:t>
          </w:r>
          <w:r w:rsidR="001A799A"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3" w:history="1">
            <w:r w:rsidRPr="00E64902">
              <w:rPr>
                <w:rStyle w:val="Collegamentoipertestuale"/>
                <w:sz w:val="20"/>
              </w:rPr>
              <w:t>ptic823007@istruzione.it</w:t>
            </w:r>
          </w:hyperlink>
          <w:r w:rsidR="001A799A" w:rsidRPr="00E64902">
            <w:rPr>
              <w:rStyle w:val="Collegamentoipertestuale"/>
              <w:sz w:val="20"/>
              <w:u w:val="none"/>
            </w:rPr>
            <w:t xml:space="preserve"> </w:t>
          </w:r>
          <w:r w:rsidR="001A799A" w:rsidRPr="00E64902">
            <w:rPr>
              <w:rStyle w:val="Collegamentoipertestuale"/>
              <w:color w:val="auto"/>
              <w:sz w:val="20"/>
              <w:u w:val="none"/>
            </w:rPr>
            <w:t xml:space="preserve">- </w:t>
          </w:r>
          <w:hyperlink r:id="rId4" w:history="1">
            <w:r w:rsidRPr="00E64902">
              <w:rPr>
                <w:rStyle w:val="Collegamentoipertestuale"/>
                <w:sz w:val="20"/>
              </w:rPr>
              <w:t>ptic823007@pec.istruzione.it</w:t>
            </w:r>
          </w:hyperlink>
        </w:p>
        <w:p w14:paraId="296CF09C" w14:textId="77777777" w:rsidR="008D413F" w:rsidRPr="00E64902" w:rsidRDefault="008D413F" w:rsidP="00E64902">
          <w:pPr>
            <w:jc w:val="center"/>
            <w:rPr>
              <w:b/>
              <w:sz w:val="20"/>
              <w:lang w:val="en-GB"/>
            </w:rPr>
          </w:pPr>
          <w:r w:rsidRPr="00E64902">
            <w:rPr>
              <w:sz w:val="20"/>
              <w:lang w:val="en-GB"/>
            </w:rPr>
            <w:t xml:space="preserve">C.F. </w:t>
          </w:r>
          <w:r w:rsidRPr="00E64902">
            <w:rPr>
              <w:b/>
              <w:sz w:val="20"/>
              <w:lang w:val="en-GB"/>
            </w:rPr>
            <w:t>81003670478</w:t>
          </w:r>
          <w:r w:rsidRPr="00E64902">
            <w:rPr>
              <w:sz w:val="20"/>
              <w:lang w:val="en-GB"/>
            </w:rPr>
            <w:t xml:space="preserve"> - Cod. Mecc. </w:t>
          </w:r>
          <w:r w:rsidRPr="00E64902">
            <w:rPr>
              <w:b/>
              <w:sz w:val="20"/>
              <w:lang w:val="en-GB"/>
            </w:rPr>
            <w:t>PTIC823007</w:t>
          </w:r>
          <w:r w:rsidRPr="00E64902">
            <w:rPr>
              <w:sz w:val="20"/>
              <w:lang w:val="en-GB"/>
            </w:rPr>
            <w:t xml:space="preserve"> - Cod. Uff. Fatt. P.A: </w:t>
          </w:r>
          <w:r w:rsidRPr="00E64902">
            <w:rPr>
              <w:b/>
              <w:sz w:val="20"/>
              <w:lang w:val="en-GB"/>
            </w:rPr>
            <w:t>UF0G53</w:t>
          </w:r>
          <w:r w:rsidRPr="00E64902">
            <w:rPr>
              <w:sz w:val="20"/>
              <w:lang w:val="en-GB"/>
            </w:rPr>
            <w:t xml:space="preserve"> - Cod. IPA: </w:t>
          </w:r>
          <w:r w:rsidRPr="00E64902">
            <w:rPr>
              <w:b/>
              <w:sz w:val="20"/>
              <w:lang w:val="en-GB"/>
            </w:rPr>
            <w:t>istsc_itc823007</w:t>
          </w:r>
        </w:p>
      </w:tc>
      <w:tc>
        <w:tcPr>
          <w:tcW w:w="1144" w:type="dxa"/>
          <w:shd w:val="clear" w:color="auto" w:fill="auto"/>
          <w:vAlign w:val="center"/>
        </w:tcPr>
        <w:p w14:paraId="113F6EBE" w14:textId="77777777" w:rsidR="002637BF" w:rsidRPr="002637BF" w:rsidRDefault="002637BF" w:rsidP="00E64902">
          <w:pPr>
            <w:jc w:val="center"/>
            <w:rPr>
              <w:noProof/>
              <w:sz w:val="12"/>
              <w:szCs w:val="12"/>
            </w:rPr>
          </w:pPr>
        </w:p>
        <w:p w14:paraId="53576664" w14:textId="1A001C03" w:rsidR="008D413F" w:rsidRDefault="002637BF" w:rsidP="00E64902">
          <w:pPr>
            <w:jc w:val="center"/>
          </w:pPr>
          <w:r>
            <w:rPr>
              <w:noProof/>
            </w:rPr>
            <w:drawing>
              <wp:inline distT="0" distB="0" distL="0" distR="0" wp14:anchorId="26C0A8C2" wp14:editId="6FDA0509">
                <wp:extent cx="720000" cy="543600"/>
                <wp:effectExtent l="0" t="0" r="4445" b="889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5461D4" w14:textId="77777777" w:rsidR="008D413F" w:rsidRPr="00A60DBF" w:rsidRDefault="008D413F" w:rsidP="00A60DBF">
    <w:pPr>
      <w:jc w:val="center"/>
      <w:rPr>
        <w:sz w:val="4"/>
        <w:szCs w:val="4"/>
        <w:lang w:val="en-GB"/>
      </w:rPr>
    </w:pPr>
  </w:p>
  <w:p w14:paraId="660498D4" w14:textId="77777777" w:rsidR="0021219D" w:rsidRDefault="00000000" w:rsidP="002863E4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12818268">
        <v:rect id="_x0000_i1025" style="width:0;height:1.5pt" o:hralign="center" o:hrstd="t" o:hr="t" fillcolor="#a0a0a0" stroked="f"/>
      </w:pict>
    </w:r>
  </w:p>
  <w:p w14:paraId="5967DA86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879"/>
    <w:multiLevelType w:val="hybridMultilevel"/>
    <w:tmpl w:val="FE20CB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022CF"/>
    <w:multiLevelType w:val="hybridMultilevel"/>
    <w:tmpl w:val="0A28174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D1616"/>
    <w:multiLevelType w:val="hybridMultilevel"/>
    <w:tmpl w:val="BAD28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1C03"/>
    <w:multiLevelType w:val="hybridMultilevel"/>
    <w:tmpl w:val="BB38C60A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D272C"/>
    <w:multiLevelType w:val="hybridMultilevel"/>
    <w:tmpl w:val="1FD208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119"/>
    <w:multiLevelType w:val="hybridMultilevel"/>
    <w:tmpl w:val="2A34962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BC2912"/>
    <w:multiLevelType w:val="hybridMultilevel"/>
    <w:tmpl w:val="C4AC7286"/>
    <w:lvl w:ilvl="0" w:tplc="EBFE13F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826"/>
    <w:multiLevelType w:val="hybridMultilevel"/>
    <w:tmpl w:val="49FA9094"/>
    <w:lvl w:ilvl="0" w:tplc="D9F88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56247"/>
    <w:multiLevelType w:val="hybridMultilevel"/>
    <w:tmpl w:val="2CE47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8390D"/>
    <w:multiLevelType w:val="hybridMultilevel"/>
    <w:tmpl w:val="D6563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CE4A4F"/>
    <w:multiLevelType w:val="hybridMultilevel"/>
    <w:tmpl w:val="DBB2B6B2"/>
    <w:lvl w:ilvl="0" w:tplc="DBD86C16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F3617C"/>
    <w:multiLevelType w:val="hybridMultilevel"/>
    <w:tmpl w:val="42C4E1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C26CD"/>
    <w:multiLevelType w:val="hybridMultilevel"/>
    <w:tmpl w:val="9FB21782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05B48"/>
    <w:multiLevelType w:val="hybridMultilevel"/>
    <w:tmpl w:val="33443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C77EC1"/>
    <w:multiLevelType w:val="hybridMultilevel"/>
    <w:tmpl w:val="F94A212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185D09"/>
    <w:multiLevelType w:val="hybridMultilevel"/>
    <w:tmpl w:val="DF069268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>
      <w:start w:val="1"/>
      <w:numFmt w:val="decimal"/>
      <w:lvlText w:val="%4."/>
      <w:lvlJc w:val="left"/>
      <w:pPr>
        <w:ind w:left="3229" w:hanging="360"/>
      </w:pPr>
    </w:lvl>
    <w:lvl w:ilvl="4" w:tplc="04100019">
      <w:start w:val="1"/>
      <w:numFmt w:val="lowerLetter"/>
      <w:lvlText w:val="%5."/>
      <w:lvlJc w:val="left"/>
      <w:pPr>
        <w:ind w:left="3949" w:hanging="360"/>
      </w:pPr>
    </w:lvl>
    <w:lvl w:ilvl="5" w:tplc="0410001B">
      <w:start w:val="1"/>
      <w:numFmt w:val="lowerRoman"/>
      <w:lvlText w:val="%6."/>
      <w:lvlJc w:val="right"/>
      <w:pPr>
        <w:ind w:left="4669" w:hanging="180"/>
      </w:pPr>
    </w:lvl>
    <w:lvl w:ilvl="6" w:tplc="0410000F">
      <w:start w:val="1"/>
      <w:numFmt w:val="decimal"/>
      <w:lvlText w:val="%7."/>
      <w:lvlJc w:val="left"/>
      <w:pPr>
        <w:ind w:left="5389" w:hanging="360"/>
      </w:pPr>
    </w:lvl>
    <w:lvl w:ilvl="7" w:tplc="04100019">
      <w:start w:val="1"/>
      <w:numFmt w:val="lowerLetter"/>
      <w:lvlText w:val="%8."/>
      <w:lvlJc w:val="left"/>
      <w:pPr>
        <w:ind w:left="6109" w:hanging="360"/>
      </w:pPr>
    </w:lvl>
    <w:lvl w:ilvl="8" w:tplc="0410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6BF35C0"/>
    <w:multiLevelType w:val="hybridMultilevel"/>
    <w:tmpl w:val="5F640A04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906F4"/>
    <w:multiLevelType w:val="hybridMultilevel"/>
    <w:tmpl w:val="DB7E195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610F5"/>
    <w:multiLevelType w:val="hybridMultilevel"/>
    <w:tmpl w:val="95FC5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476E"/>
    <w:multiLevelType w:val="hybridMultilevel"/>
    <w:tmpl w:val="1A4653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60458"/>
    <w:multiLevelType w:val="hybridMultilevel"/>
    <w:tmpl w:val="B8C4D01A"/>
    <w:lvl w:ilvl="0" w:tplc="45BA3E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33759F"/>
    <w:multiLevelType w:val="hybridMultilevel"/>
    <w:tmpl w:val="3364C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3B0109"/>
    <w:multiLevelType w:val="hybridMultilevel"/>
    <w:tmpl w:val="D4E25F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C5936"/>
    <w:multiLevelType w:val="hybridMultilevel"/>
    <w:tmpl w:val="686EBD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A3EA8"/>
    <w:multiLevelType w:val="hybridMultilevel"/>
    <w:tmpl w:val="E31EBB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CC017F"/>
    <w:multiLevelType w:val="hybridMultilevel"/>
    <w:tmpl w:val="31B0922C"/>
    <w:lvl w:ilvl="0" w:tplc="39420ABC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17153"/>
    <w:multiLevelType w:val="hybridMultilevel"/>
    <w:tmpl w:val="C0586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E32D1"/>
    <w:multiLevelType w:val="hybridMultilevel"/>
    <w:tmpl w:val="51883D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11755"/>
    <w:multiLevelType w:val="hybridMultilevel"/>
    <w:tmpl w:val="91A6F372"/>
    <w:lvl w:ilvl="0" w:tplc="DBD86C16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BE12B47"/>
    <w:multiLevelType w:val="hybridMultilevel"/>
    <w:tmpl w:val="F7EA7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31524">
    <w:abstractNumId w:val="6"/>
  </w:num>
  <w:num w:numId="2" w16cid:durableId="2023823288">
    <w:abstractNumId w:val="29"/>
  </w:num>
  <w:num w:numId="3" w16cid:durableId="29996719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767522">
    <w:abstractNumId w:val="5"/>
  </w:num>
  <w:num w:numId="5" w16cid:durableId="1082067042">
    <w:abstractNumId w:val="7"/>
  </w:num>
  <w:num w:numId="6" w16cid:durableId="1232815192">
    <w:abstractNumId w:val="19"/>
  </w:num>
  <w:num w:numId="7" w16cid:durableId="1542086250">
    <w:abstractNumId w:val="4"/>
  </w:num>
  <w:num w:numId="8" w16cid:durableId="20400868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65037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12749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1344174">
    <w:abstractNumId w:val="14"/>
  </w:num>
  <w:num w:numId="12" w16cid:durableId="1291714717">
    <w:abstractNumId w:val="12"/>
  </w:num>
  <w:num w:numId="13" w16cid:durableId="534269792">
    <w:abstractNumId w:val="17"/>
  </w:num>
  <w:num w:numId="14" w16cid:durableId="12479592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47654652">
    <w:abstractNumId w:val="16"/>
  </w:num>
  <w:num w:numId="16" w16cid:durableId="1595628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41860">
    <w:abstractNumId w:val="1"/>
  </w:num>
  <w:num w:numId="18" w16cid:durableId="1890994588">
    <w:abstractNumId w:val="0"/>
  </w:num>
  <w:num w:numId="19" w16cid:durableId="725026633">
    <w:abstractNumId w:val="15"/>
  </w:num>
  <w:num w:numId="20" w16cid:durableId="1552424489">
    <w:abstractNumId w:val="18"/>
  </w:num>
  <w:num w:numId="21" w16cid:durableId="35544879">
    <w:abstractNumId w:val="20"/>
  </w:num>
  <w:num w:numId="22" w16cid:durableId="1716734546">
    <w:abstractNumId w:val="26"/>
  </w:num>
  <w:num w:numId="23" w16cid:durableId="1757285501">
    <w:abstractNumId w:val="3"/>
  </w:num>
  <w:num w:numId="24" w16cid:durableId="1374695027">
    <w:abstractNumId w:val="25"/>
  </w:num>
  <w:num w:numId="25" w16cid:durableId="834764380">
    <w:abstractNumId w:val="23"/>
  </w:num>
  <w:num w:numId="26" w16cid:durableId="1037895669">
    <w:abstractNumId w:val="2"/>
  </w:num>
  <w:num w:numId="27" w16cid:durableId="1794323116">
    <w:abstractNumId w:val="8"/>
  </w:num>
  <w:num w:numId="28" w16cid:durableId="877739932">
    <w:abstractNumId w:val="22"/>
  </w:num>
  <w:num w:numId="29" w16cid:durableId="349723993">
    <w:abstractNumId w:val="27"/>
  </w:num>
  <w:num w:numId="30" w16cid:durableId="1472282415">
    <w:abstractNumId w:val="11"/>
  </w:num>
  <w:num w:numId="31" w16cid:durableId="506021734">
    <w:abstractNumId w:val="24"/>
  </w:num>
  <w:num w:numId="32" w16cid:durableId="1673797396">
    <w:abstractNumId w:val="9"/>
  </w:num>
  <w:num w:numId="33" w16cid:durableId="2633088">
    <w:abstractNumId w:val="10"/>
  </w:num>
  <w:num w:numId="34" w16cid:durableId="110376875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98"/>
    <w:rsid w:val="000074A3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2133"/>
    <w:rsid w:val="000944D5"/>
    <w:rsid w:val="000951F1"/>
    <w:rsid w:val="00097952"/>
    <w:rsid w:val="000A4508"/>
    <w:rsid w:val="000B3F67"/>
    <w:rsid w:val="000C4B67"/>
    <w:rsid w:val="000D2EB4"/>
    <w:rsid w:val="000D7E1C"/>
    <w:rsid w:val="000E3DDB"/>
    <w:rsid w:val="000F6B5F"/>
    <w:rsid w:val="00104440"/>
    <w:rsid w:val="00116D72"/>
    <w:rsid w:val="00117DF9"/>
    <w:rsid w:val="00122064"/>
    <w:rsid w:val="0014262A"/>
    <w:rsid w:val="00146B6C"/>
    <w:rsid w:val="00153C0E"/>
    <w:rsid w:val="00156B55"/>
    <w:rsid w:val="00180CFC"/>
    <w:rsid w:val="00185A93"/>
    <w:rsid w:val="001908AA"/>
    <w:rsid w:val="00193761"/>
    <w:rsid w:val="001A03A1"/>
    <w:rsid w:val="001A0789"/>
    <w:rsid w:val="001A799A"/>
    <w:rsid w:val="001B3B6B"/>
    <w:rsid w:val="001B565E"/>
    <w:rsid w:val="001B5B32"/>
    <w:rsid w:val="001C1CB6"/>
    <w:rsid w:val="001C5A23"/>
    <w:rsid w:val="001C6EB0"/>
    <w:rsid w:val="001D5A6B"/>
    <w:rsid w:val="001E2BE0"/>
    <w:rsid w:val="001E556F"/>
    <w:rsid w:val="001E7A4C"/>
    <w:rsid w:val="001F17B2"/>
    <w:rsid w:val="001F4AC8"/>
    <w:rsid w:val="002014F5"/>
    <w:rsid w:val="002050A9"/>
    <w:rsid w:val="0021219D"/>
    <w:rsid w:val="002138F0"/>
    <w:rsid w:val="00214003"/>
    <w:rsid w:val="00214899"/>
    <w:rsid w:val="00240AF8"/>
    <w:rsid w:val="00243CBB"/>
    <w:rsid w:val="00261F13"/>
    <w:rsid w:val="002637BF"/>
    <w:rsid w:val="00270A68"/>
    <w:rsid w:val="00273A76"/>
    <w:rsid w:val="002753AC"/>
    <w:rsid w:val="002761C0"/>
    <w:rsid w:val="00284D43"/>
    <w:rsid w:val="0028567C"/>
    <w:rsid w:val="002863E4"/>
    <w:rsid w:val="00292B9E"/>
    <w:rsid w:val="00295698"/>
    <w:rsid w:val="002A12A9"/>
    <w:rsid w:val="002A3621"/>
    <w:rsid w:val="002A48D6"/>
    <w:rsid w:val="002B0AFF"/>
    <w:rsid w:val="002B6580"/>
    <w:rsid w:val="002C107B"/>
    <w:rsid w:val="002D3FBB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2729"/>
    <w:rsid w:val="003170E9"/>
    <w:rsid w:val="00324BCD"/>
    <w:rsid w:val="00325B72"/>
    <w:rsid w:val="0033590E"/>
    <w:rsid w:val="003464D5"/>
    <w:rsid w:val="00356D4C"/>
    <w:rsid w:val="00357E70"/>
    <w:rsid w:val="0036150D"/>
    <w:rsid w:val="003707FC"/>
    <w:rsid w:val="00370958"/>
    <w:rsid w:val="00372105"/>
    <w:rsid w:val="00375994"/>
    <w:rsid w:val="00376CB7"/>
    <w:rsid w:val="00377668"/>
    <w:rsid w:val="00383D6C"/>
    <w:rsid w:val="003923D7"/>
    <w:rsid w:val="003A442D"/>
    <w:rsid w:val="003A573E"/>
    <w:rsid w:val="003B2545"/>
    <w:rsid w:val="003D014C"/>
    <w:rsid w:val="003D12BB"/>
    <w:rsid w:val="003E4978"/>
    <w:rsid w:val="003F12DC"/>
    <w:rsid w:val="003F1465"/>
    <w:rsid w:val="003F151F"/>
    <w:rsid w:val="003F1EDC"/>
    <w:rsid w:val="003F6122"/>
    <w:rsid w:val="003F7D14"/>
    <w:rsid w:val="00403655"/>
    <w:rsid w:val="00412A7E"/>
    <w:rsid w:val="00420BA5"/>
    <w:rsid w:val="00424629"/>
    <w:rsid w:val="00454498"/>
    <w:rsid w:val="0046225D"/>
    <w:rsid w:val="00466F12"/>
    <w:rsid w:val="004701D5"/>
    <w:rsid w:val="0047485D"/>
    <w:rsid w:val="0049013E"/>
    <w:rsid w:val="00490556"/>
    <w:rsid w:val="004B1D40"/>
    <w:rsid w:val="004B206F"/>
    <w:rsid w:val="004B614F"/>
    <w:rsid w:val="004C54E3"/>
    <w:rsid w:val="004C58D1"/>
    <w:rsid w:val="004C75A3"/>
    <w:rsid w:val="004E220C"/>
    <w:rsid w:val="004F1B9C"/>
    <w:rsid w:val="004F1CC1"/>
    <w:rsid w:val="004F34F6"/>
    <w:rsid w:val="004F5C7C"/>
    <w:rsid w:val="004F7749"/>
    <w:rsid w:val="00500ACC"/>
    <w:rsid w:val="005013C8"/>
    <w:rsid w:val="00502DD1"/>
    <w:rsid w:val="00513128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2457"/>
    <w:rsid w:val="0059650B"/>
    <w:rsid w:val="00597210"/>
    <w:rsid w:val="005A668E"/>
    <w:rsid w:val="005A798B"/>
    <w:rsid w:val="005B0D65"/>
    <w:rsid w:val="005B0DD6"/>
    <w:rsid w:val="005B7251"/>
    <w:rsid w:val="005C1B42"/>
    <w:rsid w:val="005C2C40"/>
    <w:rsid w:val="005D1EC3"/>
    <w:rsid w:val="005E6E16"/>
    <w:rsid w:val="00603763"/>
    <w:rsid w:val="00606BE9"/>
    <w:rsid w:val="0061060E"/>
    <w:rsid w:val="00611C8F"/>
    <w:rsid w:val="00623ED4"/>
    <w:rsid w:val="00625BBC"/>
    <w:rsid w:val="00630624"/>
    <w:rsid w:val="006449A3"/>
    <w:rsid w:val="00660607"/>
    <w:rsid w:val="00670F19"/>
    <w:rsid w:val="006716ED"/>
    <w:rsid w:val="0067264B"/>
    <w:rsid w:val="00680FF3"/>
    <w:rsid w:val="00691727"/>
    <w:rsid w:val="006947D8"/>
    <w:rsid w:val="00695A5B"/>
    <w:rsid w:val="00696BB1"/>
    <w:rsid w:val="006978F3"/>
    <w:rsid w:val="006A5501"/>
    <w:rsid w:val="006B4FAE"/>
    <w:rsid w:val="006C4AC2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2689F"/>
    <w:rsid w:val="00727514"/>
    <w:rsid w:val="00727F8C"/>
    <w:rsid w:val="00747660"/>
    <w:rsid w:val="00750CEB"/>
    <w:rsid w:val="00760C7B"/>
    <w:rsid w:val="007626A9"/>
    <w:rsid w:val="00785B92"/>
    <w:rsid w:val="00785EC4"/>
    <w:rsid w:val="007A39C9"/>
    <w:rsid w:val="007A4A58"/>
    <w:rsid w:val="007A5B58"/>
    <w:rsid w:val="007A6CE4"/>
    <w:rsid w:val="007B3046"/>
    <w:rsid w:val="007B472F"/>
    <w:rsid w:val="007B6379"/>
    <w:rsid w:val="007B6EB1"/>
    <w:rsid w:val="00804E4B"/>
    <w:rsid w:val="00810114"/>
    <w:rsid w:val="00811C17"/>
    <w:rsid w:val="0081294F"/>
    <w:rsid w:val="00813C69"/>
    <w:rsid w:val="008177DA"/>
    <w:rsid w:val="00823BC3"/>
    <w:rsid w:val="0082404C"/>
    <w:rsid w:val="00833EC7"/>
    <w:rsid w:val="00843331"/>
    <w:rsid w:val="00845698"/>
    <w:rsid w:val="00846748"/>
    <w:rsid w:val="00857ED2"/>
    <w:rsid w:val="008665DA"/>
    <w:rsid w:val="008711CF"/>
    <w:rsid w:val="00871D27"/>
    <w:rsid w:val="0087692E"/>
    <w:rsid w:val="00883579"/>
    <w:rsid w:val="008A5C23"/>
    <w:rsid w:val="008B5A3C"/>
    <w:rsid w:val="008C1D61"/>
    <w:rsid w:val="008C3018"/>
    <w:rsid w:val="008C7F85"/>
    <w:rsid w:val="008D413F"/>
    <w:rsid w:val="009001C6"/>
    <w:rsid w:val="009015CD"/>
    <w:rsid w:val="009158CF"/>
    <w:rsid w:val="009227AF"/>
    <w:rsid w:val="0093056F"/>
    <w:rsid w:val="00953068"/>
    <w:rsid w:val="00994BC4"/>
    <w:rsid w:val="009A7A41"/>
    <w:rsid w:val="009C1A45"/>
    <w:rsid w:val="009D4B4F"/>
    <w:rsid w:val="009E135C"/>
    <w:rsid w:val="009E1C0E"/>
    <w:rsid w:val="009E1DD2"/>
    <w:rsid w:val="009E4686"/>
    <w:rsid w:val="009F6830"/>
    <w:rsid w:val="009F6D04"/>
    <w:rsid w:val="00A06512"/>
    <w:rsid w:val="00A4351E"/>
    <w:rsid w:val="00A43F2B"/>
    <w:rsid w:val="00A4678E"/>
    <w:rsid w:val="00A4731A"/>
    <w:rsid w:val="00A538DC"/>
    <w:rsid w:val="00A53A02"/>
    <w:rsid w:val="00A53D49"/>
    <w:rsid w:val="00A60DBF"/>
    <w:rsid w:val="00A61B5A"/>
    <w:rsid w:val="00A641F0"/>
    <w:rsid w:val="00A64F31"/>
    <w:rsid w:val="00A70AE3"/>
    <w:rsid w:val="00A80765"/>
    <w:rsid w:val="00A844E2"/>
    <w:rsid w:val="00AA2378"/>
    <w:rsid w:val="00AA55D5"/>
    <w:rsid w:val="00AA73C2"/>
    <w:rsid w:val="00AB39B4"/>
    <w:rsid w:val="00AD1D09"/>
    <w:rsid w:val="00AE3E29"/>
    <w:rsid w:val="00AF6C14"/>
    <w:rsid w:val="00B02E69"/>
    <w:rsid w:val="00B061AE"/>
    <w:rsid w:val="00B14690"/>
    <w:rsid w:val="00B15640"/>
    <w:rsid w:val="00B20396"/>
    <w:rsid w:val="00B2788D"/>
    <w:rsid w:val="00B31152"/>
    <w:rsid w:val="00B429B8"/>
    <w:rsid w:val="00B61BAC"/>
    <w:rsid w:val="00B66831"/>
    <w:rsid w:val="00B8323C"/>
    <w:rsid w:val="00B87E06"/>
    <w:rsid w:val="00B955A8"/>
    <w:rsid w:val="00B976FD"/>
    <w:rsid w:val="00BA66A3"/>
    <w:rsid w:val="00BB0761"/>
    <w:rsid w:val="00BB359C"/>
    <w:rsid w:val="00BC14EA"/>
    <w:rsid w:val="00BC230A"/>
    <w:rsid w:val="00BC2B9C"/>
    <w:rsid w:val="00BF7793"/>
    <w:rsid w:val="00C125FD"/>
    <w:rsid w:val="00C13EB5"/>
    <w:rsid w:val="00C177D0"/>
    <w:rsid w:val="00C2028C"/>
    <w:rsid w:val="00C23FEE"/>
    <w:rsid w:val="00C32192"/>
    <w:rsid w:val="00C35B12"/>
    <w:rsid w:val="00C37433"/>
    <w:rsid w:val="00C82FE8"/>
    <w:rsid w:val="00C83791"/>
    <w:rsid w:val="00C85E42"/>
    <w:rsid w:val="00C96780"/>
    <w:rsid w:val="00CA0A11"/>
    <w:rsid w:val="00CB3071"/>
    <w:rsid w:val="00CC7F7B"/>
    <w:rsid w:val="00CD1EA9"/>
    <w:rsid w:val="00CD3C17"/>
    <w:rsid w:val="00CE2998"/>
    <w:rsid w:val="00CF31C7"/>
    <w:rsid w:val="00D03847"/>
    <w:rsid w:val="00D03C70"/>
    <w:rsid w:val="00D1554F"/>
    <w:rsid w:val="00D15FDC"/>
    <w:rsid w:val="00D329DF"/>
    <w:rsid w:val="00D50221"/>
    <w:rsid w:val="00D5301B"/>
    <w:rsid w:val="00D53578"/>
    <w:rsid w:val="00D552CD"/>
    <w:rsid w:val="00D56B01"/>
    <w:rsid w:val="00D5712D"/>
    <w:rsid w:val="00D57BAC"/>
    <w:rsid w:val="00D67A79"/>
    <w:rsid w:val="00D743F1"/>
    <w:rsid w:val="00D75B10"/>
    <w:rsid w:val="00D77B8F"/>
    <w:rsid w:val="00D80737"/>
    <w:rsid w:val="00D80A1C"/>
    <w:rsid w:val="00D80E8E"/>
    <w:rsid w:val="00D84269"/>
    <w:rsid w:val="00D9438D"/>
    <w:rsid w:val="00D967CF"/>
    <w:rsid w:val="00DA1EB8"/>
    <w:rsid w:val="00DA4995"/>
    <w:rsid w:val="00DB3E65"/>
    <w:rsid w:val="00DC5EB7"/>
    <w:rsid w:val="00DC7806"/>
    <w:rsid w:val="00DD6460"/>
    <w:rsid w:val="00DF1758"/>
    <w:rsid w:val="00DF17C2"/>
    <w:rsid w:val="00DF67B5"/>
    <w:rsid w:val="00E04944"/>
    <w:rsid w:val="00E124A2"/>
    <w:rsid w:val="00E26845"/>
    <w:rsid w:val="00E337F5"/>
    <w:rsid w:val="00E427F2"/>
    <w:rsid w:val="00E511B5"/>
    <w:rsid w:val="00E56C56"/>
    <w:rsid w:val="00E57D11"/>
    <w:rsid w:val="00E636E2"/>
    <w:rsid w:val="00E64902"/>
    <w:rsid w:val="00E8217D"/>
    <w:rsid w:val="00E8588C"/>
    <w:rsid w:val="00E86230"/>
    <w:rsid w:val="00E92976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70FB"/>
    <w:rsid w:val="00F12030"/>
    <w:rsid w:val="00F15704"/>
    <w:rsid w:val="00F17310"/>
    <w:rsid w:val="00F17E30"/>
    <w:rsid w:val="00F407D3"/>
    <w:rsid w:val="00F43DE8"/>
    <w:rsid w:val="00F460F1"/>
    <w:rsid w:val="00F54811"/>
    <w:rsid w:val="00F5757D"/>
    <w:rsid w:val="00F60A80"/>
    <w:rsid w:val="00F6315A"/>
    <w:rsid w:val="00F65796"/>
    <w:rsid w:val="00F804C3"/>
    <w:rsid w:val="00F81510"/>
    <w:rsid w:val="00F843D5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1DE725"/>
  <w15:docId w15:val="{1752E043-61B8-4C0C-804D-A2CDAD2B2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0889"/>
    <w:pPr>
      <w:suppressAutoHyphens/>
      <w:jc w:val="both"/>
    </w:pPr>
    <w:rPr>
      <w:rFonts w:ascii="Arial Narrow" w:eastAsia="Times New Roman" w:hAnsi="Arial Narrow"/>
      <w:sz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  <w:spacing w:after="12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uiPriority w:val="99"/>
    <w:semiHidden/>
    <w:unhideWhenUsed/>
    <w:rsid w:val="00270A68"/>
    <w:rPr>
      <w:color w:val="800080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oloCarattere">
    <w:name w:val="Titolo Carattere"/>
    <w:link w:val="Titolo"/>
    <w:rsid w:val="00214899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SottotitoloCarattere">
    <w:name w:val="Sottotitolo Carattere"/>
    <w:link w:val="Sottotitolo"/>
    <w:rsid w:val="00597210"/>
    <w:rPr>
      <w:rFonts w:ascii="Arial Narrow" w:eastAsia="Times New Roman" w:hAnsi="Arial Narrow" w:cs="Times New Roman"/>
      <w:color w:val="5A5A5A"/>
      <w:spacing w:val="15"/>
    </w:rPr>
  </w:style>
  <w:style w:type="character" w:styleId="Testosegnaposto">
    <w:name w:val="Placeholder Text"/>
    <w:uiPriority w:val="99"/>
    <w:semiHidden/>
    <w:rsid w:val="00597210"/>
    <w:rPr>
      <w:color w:val="808080"/>
    </w:rPr>
  </w:style>
  <w:style w:type="character" w:styleId="Menzionenonrisolta">
    <w:name w:val="Unresolved Mention"/>
    <w:uiPriority w:val="99"/>
    <w:semiHidden/>
    <w:unhideWhenUsed/>
    <w:rsid w:val="00077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F366F-4AE8-4B9A-9B6E-8444FE1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13163</CharactersWithSpaces>
  <SharedDoc>false</SharedDoc>
  <HLinks>
    <vt:vector size="18" baseType="variant">
      <vt:variant>
        <vt:i4>5439546</vt:i4>
      </vt:variant>
      <vt:variant>
        <vt:i4>6</vt:i4>
      </vt:variant>
      <vt:variant>
        <vt:i4>0</vt:i4>
      </vt:variant>
      <vt:variant>
        <vt:i4>5</vt:i4>
      </vt:variant>
      <vt:variant>
        <vt:lpwstr>mailto:ptic823007@pec.istruzione.it</vt:lpwstr>
      </vt:variant>
      <vt:variant>
        <vt:lpwstr/>
      </vt:variant>
      <vt:variant>
        <vt:i4>1572905</vt:i4>
      </vt:variant>
      <vt:variant>
        <vt:i4>3</vt:i4>
      </vt:variant>
      <vt:variant>
        <vt:i4>0</vt:i4>
      </vt:variant>
      <vt:variant>
        <vt:i4>5</vt:i4>
      </vt:variant>
      <vt:variant>
        <vt:lpwstr>mailto:ptic823007@istruzione.it</vt:lpwstr>
      </vt:variant>
      <vt:variant>
        <vt:lpwstr/>
      </vt:variant>
      <vt:variant>
        <vt:i4>917582</vt:i4>
      </vt:variant>
      <vt:variant>
        <vt:i4>0</vt:i4>
      </vt:variant>
      <vt:variant>
        <vt:i4>0</vt:i4>
      </vt:variant>
      <vt:variant>
        <vt:i4>5</vt:i4>
      </vt:variant>
      <vt:variant>
        <vt:lpwstr>http://www.icandreottipescia.edu.it/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utente1</dc:creator>
  <cp:lastModifiedBy>Antonella Gesuele</cp:lastModifiedBy>
  <cp:revision>5</cp:revision>
  <cp:lastPrinted>2020-11-03T10:36:00Z</cp:lastPrinted>
  <dcterms:created xsi:type="dcterms:W3CDTF">2023-05-16T09:54:00Z</dcterms:created>
  <dcterms:modified xsi:type="dcterms:W3CDTF">2023-05-16T10:09:00Z</dcterms:modified>
</cp:coreProperties>
</file>